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 w:cs="方正小标宋_GBK" w:hAnsi="方正小标宋_GBK"/>
          <w:b/>
          <w:bCs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b/>
          <w:bCs/>
          <w:sz w:val="44"/>
          <w:szCs w:val="44"/>
        </w:rPr>
        <w:t>江苏兴化农村商业银行股份有限公司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 w:cs="方正小标宋_GBK" w:hAnsi="方正小标宋_GBK"/>
          <w:b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b/>
          <w:sz w:val="44"/>
          <w:szCs w:val="44"/>
        </w:rPr>
        <w:t>202</w:t>
      </w:r>
      <w:r>
        <w:rPr>
          <w:rFonts w:ascii="方正小标宋_GBK" w:eastAsia="方正小标宋_GBK" w:cs="方正小标宋_GBK" w:hAnsi="方正小标宋_GBK"/>
          <w:b/>
          <w:sz w:val="44"/>
          <w:szCs w:val="44"/>
          <w:lang w:val="en-US"/>
        </w:rPr>
        <w:t>5</w:t>
      </w:r>
      <w:r>
        <w:rPr>
          <w:rFonts w:ascii="方正小标宋_GBK" w:eastAsia="方正小标宋_GBK" w:cs="方正小标宋_GBK" w:hAnsi="方正小标宋_GBK" w:hint="eastAsia"/>
          <w:b/>
          <w:sz w:val="44"/>
          <w:szCs w:val="44"/>
        </w:rPr>
        <w:t>年</w:t>
      </w:r>
      <w:r>
        <w:rPr>
          <w:rFonts w:ascii="方正小标宋_GBK" w:eastAsia="方正小标宋_GBK" w:cs="方正小标宋_GBK" w:hAnsi="方正小标宋_GBK" w:hint="eastAsia"/>
          <w:b/>
          <w:sz w:val="44"/>
          <w:szCs w:val="44"/>
          <w:lang w:eastAsia="zh-CN"/>
        </w:rPr>
        <w:t>四</w:t>
      </w:r>
      <w:r>
        <w:rPr>
          <w:rFonts w:ascii="方正小标宋_GBK" w:eastAsia="方正小标宋_GBK" w:cs="方正小标宋_GBK" w:hAnsi="方正小标宋_GBK" w:hint="eastAsia"/>
          <w:b/>
          <w:sz w:val="44"/>
          <w:szCs w:val="44"/>
        </w:rPr>
        <w:t>季度</w:t>
      </w:r>
      <w:r>
        <w:rPr>
          <w:rFonts w:ascii="方正小标宋_GBK" w:eastAsia="方正小标宋_GBK" w:cs="方正小标宋_GBK" w:hAnsi="方正小标宋_GBK" w:hint="eastAsia"/>
          <w:b/>
          <w:bCs/>
          <w:sz w:val="44"/>
          <w:szCs w:val="44"/>
        </w:rPr>
        <w:t>一般关联交易披露报告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eastAsia="方正小标宋简体" w:hAnsi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根据《银行保险机构关联交易管理办法》（银保监会令〔2022〕1号）和《江苏兴化农村商业银行股份有限公司关联交易管理办法》（</w:t>
      </w:r>
      <w:r>
        <w:rPr>
          <w:rFonts w:ascii="仿宋_GB2312" w:eastAsia="仿宋_GB2312" w:cs="仿宋_GB2312" w:hAnsi="仿宋_GB2312" w:hint="eastAsia"/>
          <w:kern w:val="2"/>
          <w:sz w:val="32"/>
          <w:szCs w:val="32"/>
          <w:lang w:val="en-US" w:eastAsia="zh-CN"/>
        </w:rPr>
        <w:t>兴商银董发〔2025〕41号</w:t>
      </w:r>
      <w:r>
        <w:rPr>
          <w:rFonts w:ascii="仿宋_GB2312" w:eastAsia="仿宋_GB2312" w:hint="eastAsia"/>
          <w:sz w:val="32"/>
          <w:szCs w:val="32"/>
        </w:rPr>
        <w:t>）相关要求，现将本行</w:t>
      </w:r>
      <w:r>
        <w:rPr>
          <w:rFonts w:ascii="仿宋_GB2312" w:eastAsia="仿宋_GB2312"/>
          <w:sz w:val="32"/>
          <w:szCs w:val="32"/>
          <w:lang w:val="en-US"/>
        </w:rPr>
        <w:t>2025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年四</w:t>
      </w:r>
      <w:r>
        <w:rPr>
          <w:rFonts w:ascii="仿宋_GB2312" w:eastAsia="仿宋_GB2312" w:hint="eastAsia"/>
          <w:sz w:val="32"/>
          <w:szCs w:val="32"/>
        </w:rPr>
        <w:t>季度一般关联交易情况披露如下：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一、一般关联交易情况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黑体" w:eastAsia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cs="楷体_GB2312" w:hAnsi="楷体_GB2312" w:hint="eastAsia"/>
          <w:color w:val="auto"/>
          <w:sz w:val="32"/>
          <w:szCs w:val="32"/>
          <w:lang w:val="en-US"/>
        </w:rPr>
        <w:t>(</w:t>
      </w:r>
      <w:r>
        <w:rPr>
          <w:rFonts w:ascii="楷体_GB2312" w:eastAsia="楷体_GB2312" w:cs="楷体_GB2312" w:hAnsi="楷体_GB2312" w:hint="eastAsia"/>
          <w:color w:val="auto"/>
          <w:sz w:val="32"/>
          <w:szCs w:val="32"/>
          <w:lang w:val="en-US" w:eastAsia="zh-CN"/>
        </w:rPr>
        <w:t>一</w:t>
      </w:r>
      <w:r>
        <w:rPr>
          <w:rFonts w:ascii="楷体_GB2312" w:eastAsia="楷体_GB2312" w:cs="楷体_GB2312" w:hAnsi="楷体_GB2312" w:hint="eastAsia"/>
          <w:color w:val="auto"/>
          <w:sz w:val="32"/>
          <w:szCs w:val="32"/>
          <w:lang w:val="en-US"/>
        </w:rPr>
        <w:t>)</w:t>
      </w:r>
      <w:r>
        <w:rPr>
          <w:rFonts w:ascii="楷体_GB2312" w:eastAsia="楷体_GB2312" w:cs="楷体_GB2312" w:hAnsi="楷体_GB2312" w:hint="eastAsia"/>
          <w:color w:val="auto"/>
          <w:sz w:val="32"/>
          <w:szCs w:val="32"/>
          <w:lang w:val="en-US" w:eastAsia="zh-CN"/>
        </w:rPr>
        <w:t>授信类一般关联交易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仿宋_GB2312" w:eastAsia="仿宋_GB2312" w:hint="eastAsia"/>
          <w:color w:val="auto"/>
          <w:sz w:val="32"/>
          <w:szCs w:val="32"/>
          <w:lang w:eastAsia="zh-CN"/>
        </w:rPr>
      </w:pPr>
      <w:r>
        <w:rPr>
          <w:rFonts w:ascii="仿宋_GB2312" w:eastAsia="仿宋_GB2312" w:hint="eastAsia"/>
          <w:color w:val="auto"/>
          <w:sz w:val="32"/>
          <w:szCs w:val="32"/>
        </w:rPr>
        <w:t>截至202</w:t>
      </w:r>
      <w:r>
        <w:rPr>
          <w:rFonts w:ascii="仿宋_GB2312" w:eastAsia="仿宋_GB2312"/>
          <w:color w:val="auto"/>
          <w:sz w:val="32"/>
          <w:szCs w:val="32"/>
          <w:lang w:val="en-US"/>
        </w:rPr>
        <w:t>5</w:t>
      </w:r>
      <w:r>
        <w:rPr>
          <w:rFonts w:ascii="仿宋_GB2312" w:eastAsia="仿宋_GB2312" w:hint="eastAsia"/>
          <w:color w:val="auto"/>
          <w:sz w:val="32"/>
          <w:szCs w:val="32"/>
        </w:rPr>
        <w:t>年</w:t>
      </w:r>
      <w:r>
        <w:rPr>
          <w:rFonts w:ascii="仿宋_GB2312" w:eastAsia="仿宋_GB2312"/>
          <w:color w:val="auto"/>
          <w:sz w:val="32"/>
          <w:szCs w:val="32"/>
          <w:lang w:val="en-US"/>
        </w:rPr>
        <w:t>12</w:t>
      </w:r>
      <w:r>
        <w:rPr>
          <w:rFonts w:ascii="仿宋_GB2312" w:eastAsia="仿宋_GB2312" w:hint="eastAsia"/>
          <w:color w:val="auto"/>
          <w:sz w:val="32"/>
          <w:szCs w:val="32"/>
        </w:rPr>
        <w:t>月3</w:t>
      </w:r>
      <w:r>
        <w:rPr>
          <w:rFonts w:ascii="仿宋_GB2312" w:eastAsia="仿宋_GB2312"/>
          <w:color w:val="auto"/>
          <w:sz w:val="32"/>
          <w:szCs w:val="32"/>
          <w:lang w:val="en-US"/>
        </w:rPr>
        <w:t>1</w:t>
      </w:r>
      <w:r>
        <w:rPr>
          <w:rFonts w:ascii="仿宋_GB2312" w:eastAsia="仿宋_GB2312" w:hint="eastAsia"/>
          <w:color w:val="auto"/>
          <w:sz w:val="32"/>
          <w:szCs w:val="32"/>
        </w:rPr>
        <w:t>日，一般</w:t>
      </w:r>
      <w:r>
        <w:rPr>
          <w:rFonts w:ascii="仿宋_GB2312" w:eastAsia="仿宋_GB2312"/>
          <w:color w:val="auto"/>
          <w:sz w:val="32"/>
          <w:szCs w:val="32"/>
        </w:rPr>
        <w:t>关联交易</w:t>
      </w:r>
      <w:r>
        <w:rPr>
          <w:rFonts w:ascii="仿宋_GB2312" w:eastAsia="仿宋_GB2312" w:hint="eastAsia"/>
          <w:color w:val="auto"/>
          <w:sz w:val="32"/>
          <w:szCs w:val="32"/>
        </w:rPr>
        <w:t>授信</w:t>
      </w:r>
      <w:r>
        <w:rPr>
          <w:rFonts w:ascii="仿宋_GB2312" w:eastAsia="仿宋_GB2312"/>
          <w:color w:val="auto"/>
          <w:sz w:val="32"/>
          <w:szCs w:val="32"/>
        </w:rPr>
        <w:t>户数</w:t>
      </w:r>
      <w:r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71</w:t>
      </w:r>
      <w:r>
        <w:rPr>
          <w:rFonts w:ascii="仿宋_GB2312" w:eastAsia="仿宋_GB2312" w:hint="eastAsia"/>
          <w:color w:val="auto"/>
          <w:sz w:val="32"/>
          <w:szCs w:val="32"/>
        </w:rPr>
        <w:t>户</w:t>
      </w:r>
      <w:r>
        <w:rPr>
          <w:rFonts w:ascii="仿宋_GB2312" w:eastAsia="仿宋_GB2312"/>
          <w:color w:val="auto"/>
          <w:sz w:val="32"/>
          <w:szCs w:val="32"/>
        </w:rPr>
        <w:t>，授信总额</w:t>
      </w:r>
      <w:r>
        <w:rPr>
          <w:rFonts w:ascii="仿宋_GB2312" w:eastAsia="仿宋_GB2312"/>
          <w:color w:val="auto"/>
          <w:sz w:val="32"/>
          <w:szCs w:val="32"/>
          <w:lang w:val="en-US"/>
        </w:rPr>
        <w:t>3045.1</w:t>
      </w:r>
      <w:r>
        <w:rPr>
          <w:rFonts w:ascii="仿宋_GB2312" w:eastAsia="仿宋_GB2312" w:hint="eastAsia"/>
          <w:color w:val="auto"/>
          <w:sz w:val="32"/>
          <w:szCs w:val="32"/>
        </w:rPr>
        <w:t>万</w:t>
      </w:r>
      <w:r>
        <w:rPr>
          <w:rFonts w:ascii="仿宋_GB2312" w:eastAsia="仿宋_GB2312"/>
          <w:color w:val="auto"/>
          <w:sz w:val="32"/>
          <w:szCs w:val="32"/>
        </w:rPr>
        <w:t>元</w:t>
      </w:r>
      <w:r>
        <w:rPr>
          <w:rFonts w:ascii="仿宋_GB2312" w:eastAsia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>其中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：</w:t>
      </w:r>
      <w:r>
        <w:rPr>
          <w:rFonts w:ascii="仿宋_GB2312" w:eastAsia="仿宋_GB2312" w:hint="eastAsia"/>
          <w:color w:val="auto"/>
          <w:sz w:val="32"/>
          <w:szCs w:val="32"/>
        </w:rPr>
        <w:t>关联法人</w:t>
      </w:r>
      <w:r>
        <w:rPr>
          <w:rFonts w:ascii="仿宋_GB2312" w:eastAsia="仿宋_GB2312"/>
          <w:color w:val="auto"/>
          <w:sz w:val="32"/>
          <w:szCs w:val="32"/>
          <w:lang w:val="en-US"/>
        </w:rPr>
        <w:t>0</w:t>
      </w:r>
      <w:r>
        <w:rPr>
          <w:rFonts w:ascii="仿宋_GB2312" w:eastAsia="仿宋_GB2312" w:hint="eastAsia"/>
          <w:color w:val="auto"/>
          <w:sz w:val="32"/>
          <w:szCs w:val="32"/>
        </w:rPr>
        <w:t>户</w:t>
      </w:r>
      <w:r>
        <w:rPr>
          <w:rFonts w:ascii="仿宋_GB2312" w:eastAsia="仿宋_GB2312"/>
          <w:color w:val="auto"/>
          <w:sz w:val="32"/>
          <w:szCs w:val="32"/>
        </w:rPr>
        <w:t>，</w:t>
      </w:r>
      <w:r>
        <w:rPr>
          <w:rFonts w:ascii="仿宋_GB2312" w:eastAsia="仿宋_GB2312" w:hint="eastAsia"/>
          <w:color w:val="auto"/>
          <w:sz w:val="32"/>
          <w:szCs w:val="32"/>
        </w:rPr>
        <w:t>合计授信</w:t>
      </w:r>
      <w:r>
        <w:rPr>
          <w:rFonts w:ascii="仿宋_GB2312" w:eastAsia="仿宋_GB2312"/>
          <w:color w:val="auto"/>
          <w:sz w:val="32"/>
          <w:szCs w:val="32"/>
        </w:rPr>
        <w:t>金额为</w:t>
      </w:r>
      <w:r>
        <w:rPr>
          <w:rFonts w:ascii="仿宋_GB2312" w:eastAsia="仿宋_GB2312"/>
          <w:color w:val="auto"/>
          <w:sz w:val="32"/>
          <w:szCs w:val="32"/>
          <w:lang w:val="en-US"/>
        </w:rPr>
        <w:t>0</w:t>
      </w:r>
      <w:r>
        <w:rPr>
          <w:rFonts w:ascii="仿宋_GB2312" w:eastAsia="仿宋_GB2312" w:hint="eastAsia"/>
          <w:color w:val="auto"/>
          <w:sz w:val="32"/>
          <w:szCs w:val="32"/>
        </w:rPr>
        <w:t>万</w:t>
      </w:r>
      <w:r>
        <w:rPr>
          <w:rFonts w:ascii="仿宋_GB2312" w:eastAsia="仿宋_GB2312"/>
          <w:color w:val="auto"/>
          <w:sz w:val="32"/>
          <w:szCs w:val="32"/>
        </w:rPr>
        <w:t>元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。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关联</w:t>
      </w:r>
      <w:r>
        <w:rPr>
          <w:rFonts w:ascii="仿宋_GB2312" w:eastAsia="仿宋_GB2312" w:hAnsi="宋体"/>
          <w:bCs/>
          <w:color w:val="auto"/>
          <w:sz w:val="32"/>
          <w:szCs w:val="32"/>
        </w:rPr>
        <w:t>自然人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/>
        </w:rPr>
        <w:t>71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户</w:t>
      </w:r>
      <w:r>
        <w:rPr>
          <w:rFonts w:ascii="仿宋_GB2312" w:eastAsia="仿宋_GB2312" w:hAnsi="宋体"/>
          <w:bCs/>
          <w:color w:val="auto"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合计</w:t>
      </w:r>
      <w:r>
        <w:rPr>
          <w:rFonts w:ascii="仿宋_GB2312" w:eastAsia="仿宋_GB2312" w:hAnsi="宋体"/>
          <w:bCs/>
          <w:color w:val="auto"/>
          <w:sz w:val="32"/>
          <w:szCs w:val="32"/>
        </w:rPr>
        <w:t>授信金额为</w:t>
      </w:r>
      <w:r>
        <w:rPr>
          <w:rFonts w:ascii="仿宋_GB2312" w:eastAsia="仿宋_GB2312"/>
          <w:color w:val="auto"/>
          <w:sz w:val="32"/>
          <w:szCs w:val="32"/>
          <w:lang w:val="en-US"/>
        </w:rPr>
        <w:t>3045.1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万</w:t>
      </w:r>
      <w:r>
        <w:rPr>
          <w:rFonts w:ascii="仿宋_GB2312" w:eastAsia="仿宋_GB2312" w:hAnsi="宋体"/>
          <w:bCs/>
          <w:color w:val="auto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楷体_GB2312" w:eastAsia="楷体_GB2312" w:cs="楷体_GB2312" w:hAnsi="楷体_GB2312" w:hint="eastAsia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cs="楷体_GB2312" w:hAnsi="楷体_GB2312"/>
          <w:color w:val="auto"/>
          <w:sz w:val="32"/>
          <w:szCs w:val="32"/>
          <w:lang w:val="en-US"/>
        </w:rPr>
        <w:t>(</w:t>
      </w:r>
      <w:r>
        <w:rPr>
          <w:rFonts w:ascii="楷体_GB2312" w:eastAsia="楷体_GB2312" w:cs="楷体_GB2312" w:hAnsi="楷体_GB2312" w:hint="eastAsia"/>
          <w:color w:val="auto"/>
          <w:sz w:val="32"/>
          <w:szCs w:val="32"/>
          <w:lang w:val="en-US" w:eastAsia="zh-CN"/>
        </w:rPr>
        <w:t>二</w:t>
      </w:r>
      <w:r>
        <w:rPr>
          <w:rFonts w:ascii="楷体_GB2312" w:eastAsia="楷体_GB2312" w:cs="楷体_GB2312" w:hAnsi="楷体_GB2312"/>
          <w:color w:val="auto"/>
          <w:sz w:val="32"/>
          <w:szCs w:val="32"/>
          <w:lang w:val="en-US"/>
        </w:rPr>
        <w:t>)</w:t>
      </w:r>
      <w:r>
        <w:rPr>
          <w:rFonts w:ascii="楷体_GB2312" w:eastAsia="楷体_GB2312" w:cs="楷体_GB2312" w:hAnsi="楷体_GB2312" w:hint="eastAsia"/>
          <w:color w:val="auto"/>
          <w:sz w:val="32"/>
          <w:szCs w:val="32"/>
          <w:lang w:val="en-US" w:eastAsia="zh-CN"/>
        </w:rPr>
        <w:t>存款类一般关联交易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黑体" w:eastAsia="仿宋_GB2312" w:hAnsi="黑体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宋体"/>
          <w:bCs/>
          <w:color w:val="auto"/>
          <w:sz w:val="32"/>
          <w:szCs w:val="32"/>
          <w:lang w:val="en-US" w:eastAsia="zh-CN"/>
        </w:rPr>
        <w:t>2025</w:t>
      </w:r>
      <w:r>
        <w:rPr>
          <w:rFonts w:ascii="仿宋_GB2312" w:eastAsia="仿宋_GB2312" w:hAnsi="宋体" w:hint="eastAsia"/>
          <w:bCs/>
          <w:color w:val="auto"/>
          <w:sz w:val="32"/>
          <w:szCs w:val="32"/>
          <w:lang w:val="en-US" w:eastAsia="zh-CN"/>
        </w:rPr>
        <w:t>年四季度共发生存款类一般关联交易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 w:eastAsia="zh-CN"/>
        </w:rPr>
        <w:t>17</w:t>
      </w:r>
      <w:r>
        <w:rPr>
          <w:rFonts w:ascii="仿宋_GB2312" w:eastAsia="仿宋_GB2312" w:hAnsi="宋体" w:hint="eastAsia"/>
          <w:bCs/>
          <w:color w:val="auto"/>
          <w:sz w:val="32"/>
          <w:szCs w:val="32"/>
          <w:lang w:val="en-US" w:eastAsia="zh-CN"/>
        </w:rPr>
        <w:t>笔，合计金额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 w:eastAsia="zh-CN"/>
        </w:rPr>
        <w:t>87.2</w:t>
      </w:r>
      <w:r>
        <w:rPr>
          <w:rFonts w:ascii="仿宋_GB2312" w:eastAsia="仿宋_GB2312" w:hAnsi="宋体" w:hint="eastAsia"/>
          <w:bCs/>
          <w:color w:val="auto"/>
          <w:sz w:val="32"/>
          <w:szCs w:val="32"/>
          <w:lang w:val="en-US" w:eastAsia="zh-CN"/>
        </w:rPr>
        <w:t>万元。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截至202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/>
        </w:rPr>
        <w:t>5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年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/>
        </w:rPr>
        <w:t>12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月3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/>
        </w:rPr>
        <w:t>1</w:t>
      </w:r>
      <w:r>
        <w:rPr>
          <w:rFonts w:ascii="仿宋_GB2312" w:eastAsia="仿宋_GB2312" w:hAnsi="宋体" w:hint="eastAsia"/>
          <w:bCs/>
          <w:color w:val="auto"/>
          <w:sz w:val="32"/>
          <w:szCs w:val="32"/>
        </w:rPr>
        <w:t>日</w:t>
      </w:r>
      <w:r>
        <w:rPr>
          <w:rFonts w:ascii="仿宋_GB2312" w:eastAsia="仿宋_GB2312" w:hAnsi="宋体" w:hint="eastAsia"/>
          <w:bCs/>
          <w:color w:val="auto"/>
          <w:sz w:val="32"/>
          <w:szCs w:val="32"/>
          <w:lang w:eastAsia="zh-CN"/>
        </w:rPr>
        <w:t>，本行存款类一般关联交易余额</w:t>
      </w:r>
      <w:r>
        <w:rPr>
          <w:rFonts w:ascii="仿宋_GB2312" w:eastAsia="仿宋_GB2312" w:hAnsi="宋体"/>
          <w:bCs/>
          <w:color w:val="auto"/>
          <w:sz w:val="32"/>
          <w:szCs w:val="32"/>
          <w:lang w:val="en-US" w:eastAsia="zh-CN"/>
        </w:rPr>
        <w:t>8205.07</w:t>
      </w:r>
      <w:r>
        <w:rPr>
          <w:rFonts w:ascii="仿宋_GB2312" w:eastAsia="仿宋_GB2312" w:hAnsi="宋体" w:hint="eastAsia"/>
          <w:bCs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二、定价政策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本行与关联方之间的交易按照商业原则和内部审批程序，以不优于对非关联方同类交易的条件进行，关联交易定价遵循国家规定、市场价格。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200" w:firstLine="64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江苏兴化农村商业银行股份有限公司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1350" w:firstLine="4320"/>
        <w:jc w:val="left"/>
        <w:textAlignment w:val="auto"/>
      </w:pPr>
      <w:r>
        <w:rPr>
          <w:rFonts w:ascii="仿宋_GB2312" w:eastAsia="仿宋_GB2312" w:hint="eastAsia"/>
          <w:sz w:val="32"/>
          <w:szCs w:val="32"/>
        </w:rPr>
        <w:t xml:space="preserve">  202</w:t>
      </w:r>
      <w:r>
        <w:rPr>
          <w:rFonts w:ascii="仿宋_GB2312" w:eastAsia="仿宋_GB2312"/>
          <w:sz w:val="32"/>
          <w:szCs w:val="32"/>
          <w:lang w:val="en-US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-US"/>
        </w:rPr>
        <w:t>1</w:t>
      </w:r>
      <w:r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  <w:lang w:val="en-US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sectPr>
      <w:headerReference w:type="default" r:id="rId2"/>
      <w:headerReference w:type="even" r:id="rId3"/>
      <w:headerReference w:type="first" r:id="rId4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  <w:r>
      <w:pict>
        <v:shape type="#_x0000_t136" id="PowerPlusWaterMarkObject1" o:spid="_x0000_s1" fillcolor="#161515" stroked="f" strokecolor="#000000" adj="10800" o:allowincell="f" style="position:absolute;margin-left:-90.0pt;margin-top:0.0pt;width:110.25pt;height:15.75pt;rotation:340.0;z-index:-48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" o:spid="_x0000_s2" fillcolor="#161515" stroked="f" strokecolor="#000000" adj="10800" o:allowincell="f" style="position:absolute;margin-left:172.5pt;margin-top:0.0pt;width:110.25pt;height:15.75pt;rotation:340.0;z-index:-45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" o:spid="_x0000_s3" fillcolor="#161515" stroked="f" strokecolor="#000000" adj="10800" o:allowincell="f" style="position:absolute;margin-left:435.0pt;margin-top:0.0pt;width:110.25pt;height:15.75pt;rotation:340.0;z-index:-42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" o:spid="_x0000_s4" fillcolor="#161515" stroked="f" strokecolor="#000000" adj="10800" o:allowincell="f" style="position:absolute;margin-left:-15.0pt;margin-top:205.5pt;width:110.25pt;height:15.75pt;rotation:340.0;z-index:-39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5" o:spid="_x0000_s5" fillcolor="#161515" stroked="f" strokecolor="#000000" adj="10800" o:allowincell="f" style="position:absolute;margin-left:247.5pt;margin-top:205.5pt;width:110.25pt;height:15.75pt;rotation:340.0;z-index:-36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6" o:spid="_x0000_s6" fillcolor="#161515" stroked="f" strokecolor="#000000" adj="10800" o:allowincell="f" style="position:absolute;margin-left:510.0pt;margin-top:205.5pt;width:110.25pt;height:15.75pt;rotation:340.0;z-index:-33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7" o:spid="_x0000_s7" fillcolor="#161515" stroked="f" strokecolor="#000000" adj="10800" o:allowincell="f" style="position:absolute;margin-left:-90.0pt;margin-top:411.0pt;width:110.25pt;height:15.75pt;rotation:340.0;z-index:-30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8" o:spid="_x0000_s8" fillcolor="#161515" stroked="f" strokecolor="#000000" adj="10800" o:allowincell="f" style="position:absolute;margin-left:172.5pt;margin-top:411.0pt;width:110.25pt;height:15.75pt;rotation:340.0;z-index:-27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9" o:spid="_x0000_s9" fillcolor="#161515" stroked="f" strokecolor="#000000" adj="10800" o:allowincell="f" style="position:absolute;margin-left:435.0pt;margin-top:411.0pt;width:110.25pt;height:15.75pt;rotation:340.0;z-index:-24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0" o:spid="_x0000_s10" fillcolor="#161515" stroked="f" strokecolor="#000000" adj="10800" o:allowincell="f" style="position:absolute;margin-left:-15.0pt;margin-top:616.5pt;width:110.25pt;height:15.75pt;rotation:340.0;z-index:-21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1" o:spid="_x0000_s11" fillcolor="#161515" stroked="f" strokecolor="#000000" adj="10800" o:allowincell="f" style="position:absolute;margin-left:247.5pt;margin-top:616.5pt;width:110.25pt;height:15.75pt;rotation:340.0;z-index:-18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2" o:spid="_x0000_s12" fillcolor="#161515" stroked="f" strokecolor="#000000" adj="10800" o:allowincell="f" style="position:absolute;margin-left:510.0pt;margin-top:616.5pt;width:110.25pt;height:15.75pt;rotation:340.0;z-index:-15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3" o:spid="_x0000_s13" fillcolor="#161515" stroked="f" strokecolor="#000000" adj="10800" o:allowincell="f" style="position:absolute;margin-left:-90.0pt;margin-top:822.0pt;width:110.25pt;height:15.75pt;rotation:340.0;z-index:-12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4" o:spid="_x0000_s14" fillcolor="#161515" stroked="f" strokecolor="#000000" adj="10800" o:allowincell="f" style="position:absolute;margin-left:172.5pt;margin-top:822.0pt;width:110.25pt;height:15.75pt;rotation:340.0;z-index:-9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5" o:spid="_x0000_s15" fillcolor="#161515" stroked="f" strokecolor="#000000" adj="10800" o:allowincell="f" style="position:absolute;margin-left:435.0pt;margin-top:822.0pt;width:110.25pt;height:15.75pt;rotation:340.0;z-index:-6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  <w:r>
      <w:pict>
        <v:shape type="#_x0000_t136" id="PowerPlusWaterMarkObject16" o:spid="_x0000_s16" fillcolor="#161515" stroked="f" strokecolor="#000000" adj="10800" o:allowincell="f" style="position:absolute;margin-left:-90.0pt;margin-top:0.0pt;width:110.25pt;height:15.75pt;rotation:340.0;z-index:-49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7" o:spid="_x0000_s17" fillcolor="#161515" stroked="f" strokecolor="#000000" adj="10800" o:allowincell="f" style="position:absolute;margin-left:172.5pt;margin-top:0.0pt;width:110.25pt;height:15.75pt;rotation:340.0;z-index:-46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8" o:spid="_x0000_s18" fillcolor="#161515" stroked="f" strokecolor="#000000" adj="10800" o:allowincell="f" style="position:absolute;margin-left:435.0pt;margin-top:0.0pt;width:110.25pt;height:15.75pt;rotation:340.0;z-index:-43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19" o:spid="_x0000_s19" fillcolor="#161515" stroked="f" strokecolor="#000000" adj="10800" o:allowincell="f" style="position:absolute;margin-left:-15.0pt;margin-top:205.5pt;width:110.25pt;height:15.75pt;rotation:340.0;z-index:-40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0" o:spid="_x0000_s20" fillcolor="#161515" stroked="f" strokecolor="#000000" adj="10800" o:allowincell="f" style="position:absolute;margin-left:247.5pt;margin-top:205.5pt;width:110.25pt;height:15.75pt;rotation:340.0;z-index:-37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1" o:spid="_x0000_s21" fillcolor="#161515" stroked="f" strokecolor="#000000" adj="10800" o:allowincell="f" style="position:absolute;margin-left:510.0pt;margin-top:205.5pt;width:110.25pt;height:15.75pt;rotation:340.0;z-index:-34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2" o:spid="_x0000_s22" fillcolor="#161515" stroked="f" strokecolor="#000000" adj="10800" o:allowincell="f" style="position:absolute;margin-left:-90.0pt;margin-top:411.0pt;width:110.25pt;height:15.75pt;rotation:340.0;z-index:-31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3" o:spid="_x0000_s23" fillcolor="#161515" stroked="f" strokecolor="#000000" adj="10800" o:allowincell="f" style="position:absolute;margin-left:172.5pt;margin-top:411.0pt;width:110.25pt;height:15.75pt;rotation:340.0;z-index:-28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4" o:spid="_x0000_s24" fillcolor="#161515" stroked="f" strokecolor="#000000" adj="10800" o:allowincell="f" style="position:absolute;margin-left:435.0pt;margin-top:411.0pt;width:110.25pt;height:15.75pt;rotation:340.0;z-index:-25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5" o:spid="_x0000_s25" fillcolor="#161515" stroked="f" strokecolor="#000000" adj="10800" o:allowincell="f" style="position:absolute;margin-left:-15.0pt;margin-top:616.5pt;width:110.25pt;height:15.75pt;rotation:340.0;z-index:-22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6" o:spid="_x0000_s26" fillcolor="#161515" stroked="f" strokecolor="#000000" adj="10800" o:allowincell="f" style="position:absolute;margin-left:247.5pt;margin-top:616.5pt;width:110.25pt;height:15.75pt;rotation:340.0;z-index:-19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7" o:spid="_x0000_s27" fillcolor="#161515" stroked="f" strokecolor="#000000" adj="10800" o:allowincell="f" style="position:absolute;margin-left:510.0pt;margin-top:616.5pt;width:110.25pt;height:15.75pt;rotation:340.0;z-index:-16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8" o:spid="_x0000_s28" fillcolor="#161515" stroked="f" strokecolor="#000000" adj="10800" o:allowincell="f" style="position:absolute;margin-left:-90.0pt;margin-top:822.0pt;width:110.25pt;height:15.75pt;rotation:340.0;z-index:-13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29" o:spid="_x0000_s29" fillcolor="#161515" stroked="f" strokecolor="#000000" adj="10800" o:allowincell="f" style="position:absolute;margin-left:172.5pt;margin-top:822.0pt;width:110.25pt;height:15.75pt;rotation:340.0;z-index:-10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0" o:spid="_x0000_s30" fillcolor="#161515" stroked="f" strokecolor="#000000" adj="10800" o:allowincell="f" style="position:absolute;margin-left:435.0pt;margin-top:822.0pt;width:110.25pt;height:15.75pt;rotation:340.0;z-index:-7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  <w:r>
      <w:pict>
        <v:shape type="#_x0000_t136" id="PowerPlusWaterMarkObject31" o:spid="_x0000_s31" fillcolor="#161515" stroked="f" strokecolor="#000000" adj="10800" o:allowincell="f" style="position:absolute;margin-left:-90.0pt;margin-top:0.0pt;width:110.25pt;height:15.75pt;rotation:340.0;z-index:-47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2" o:spid="_x0000_s32" fillcolor="#161515" stroked="f" strokecolor="#000000" adj="10800" o:allowincell="f" style="position:absolute;margin-left:172.5pt;margin-top:0.0pt;width:110.25pt;height:15.75pt;rotation:340.0;z-index:-44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3" o:spid="_x0000_s33" fillcolor="#161515" stroked="f" strokecolor="#000000" adj="10800" o:allowincell="f" style="position:absolute;margin-left:435.0pt;margin-top:0.0pt;width:110.25pt;height:15.75pt;rotation:340.0;z-index:-41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4" o:spid="_x0000_s34" fillcolor="#161515" stroked="f" strokecolor="#000000" adj="10800" o:allowincell="f" style="position:absolute;margin-left:-15.0pt;margin-top:205.5pt;width:110.25pt;height:15.75pt;rotation:340.0;z-index:-38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5" o:spid="_x0000_s35" fillcolor="#161515" stroked="f" strokecolor="#000000" adj="10800" o:allowincell="f" style="position:absolute;margin-left:247.5pt;margin-top:205.5pt;width:110.25pt;height:15.75pt;rotation:340.0;z-index:-35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6" o:spid="_x0000_s36" fillcolor="#161515" stroked="f" strokecolor="#000000" adj="10800" o:allowincell="f" style="position:absolute;margin-left:510.0pt;margin-top:205.5pt;width:110.25pt;height:15.75pt;rotation:340.0;z-index:-32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7" o:spid="_x0000_s37" fillcolor="#161515" stroked="f" strokecolor="#000000" adj="10800" o:allowincell="f" style="position:absolute;margin-left:-90.0pt;margin-top:411.0pt;width:110.25pt;height:15.75pt;rotation:340.0;z-index:-29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8" o:spid="_x0000_s38" fillcolor="#161515" stroked="f" strokecolor="#000000" adj="10800" o:allowincell="f" style="position:absolute;margin-left:172.5pt;margin-top:411.0pt;width:110.25pt;height:15.75pt;rotation:340.0;z-index:-26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39" o:spid="_x0000_s39" fillcolor="#161515" stroked="f" strokecolor="#000000" adj="10800" o:allowincell="f" style="position:absolute;margin-left:435.0pt;margin-top:411.0pt;width:110.25pt;height:15.75pt;rotation:340.0;z-index:-23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0" o:spid="_x0000_s40" fillcolor="#161515" stroked="f" strokecolor="#000000" adj="10800" o:allowincell="f" style="position:absolute;margin-left:-15.0pt;margin-top:616.5pt;width:110.25pt;height:15.75pt;rotation:340.0;z-index:-20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1" o:spid="_x0000_s41" fillcolor="#161515" stroked="f" strokecolor="#000000" adj="10800" o:allowincell="f" style="position:absolute;margin-left:247.5pt;margin-top:616.5pt;width:110.25pt;height:15.75pt;rotation:340.0;z-index:-17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2" o:spid="_x0000_s42" fillcolor="#161515" stroked="f" strokecolor="#000000" adj="10800" o:allowincell="f" style="position:absolute;margin-left:510.0pt;margin-top:616.5pt;width:110.25pt;height:15.75pt;rotation:340.0;z-index:-14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3" o:spid="_x0000_s43" fillcolor="#161515" stroked="f" strokecolor="#000000" adj="10800" o:allowincell="f" style="position:absolute;margin-left:-90.0pt;margin-top:822.0pt;width:110.25pt;height:15.75pt;rotation:340.0;z-index:-11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4" o:spid="_x0000_s44" fillcolor="#161515" stroked="f" strokecolor="#000000" adj="10800" o:allowincell="f" style="position:absolute;margin-left:172.5pt;margin-top:822.0pt;width:110.25pt;height:15.75pt;rotation:340.0;z-index:-8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  <w:r>
      <w:pict>
        <v:shape type="#_x0000_t136" id="PowerPlusWaterMarkObject45" o:spid="_x0000_s45" fillcolor="#161515" stroked="f" strokecolor="#000000" adj="10800" o:allowincell="f" style="position:absolute;margin-left:435.0pt;margin-top:822.0pt;width:110.25pt;height:15.75pt;rotation:340.0;z-index:-5;mso-position-horizontal:absolute;mso-position-vertical:absolute;mso-wrap-distance-left:6.75pt;mso-wrap-distance-right:6.75pt;">
          <v:fill opacity="13107f"/>
          <v:stroke color="#000000"/>
          <v:textpath style="font-family:&quot;宋体&quot;;font-size:16pt;" trim="t" fitpath="t" string="马伟平12201047"/>
        </v:shape>
      </w:pic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8A4693ED-3F74-4387-94F9-9DC1E0EC9B7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WPS_Yozo_OfficeDCS3.0.1.0923.101ZH</Application>
  <Pages>1</Pages>
  <Words>0</Words>
  <Characters>337</Characters>
  <Lines>0</Lines>
  <Paragraphs>16</Paragraphs>
  <CharactersWithSpaces>450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xhbg</dc:creator>
  <cp:lastModifiedBy>root</cp:lastModifiedBy>
  <cp:revision>55</cp:revision>
  <dcterms:created xsi:type="dcterms:W3CDTF">2023-03-30T06:49:00Z</dcterms:created>
  <dcterms:modified xsi:type="dcterms:W3CDTF">2026-01-28T08:43:52Z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2052-10.8.0.5838</vt:lpwstr>
  </property>
  <property fmtid="{D5CDD505-2E9C-101B-9397-08002B2CF9AE}" pid="3" name="ICV">
    <vt:lpwstr>5A4347C5DEDD41A1B93123FBFBC432C0</vt:lpwstr>
  </property>
</Properties>
</file>