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109,538,328.00份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79,837,701.71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31,348,079.51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1,786,553.31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截至报告期末，本产品Y60080份额净值为1.0310元，Y61080份额净值为1.0320元，Y62080份额净值为1.0329元。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57,554,625.15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29,599,359.84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25,695,510.09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产品支付关联方托管费0.00元，支付关联方代销费24,014.79元。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