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南银理财鼎瑞悦稳（最低持有60天）1号公募人民币理财产品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南银理财鼎瑞悦稳（最低持有60天）1号公募人民币理财产品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5,396,696,739.14份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中粮信托有限责任公司,国投泰康信托有限公司,招商基金管理有限公司,紫金信托有限责任公司,陆家嘴国际信托有限公司,景顺长城基金管理有限公司,长江养老保险股份有限公司,江苏省国际信托有限责任公司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2,155,769,631.34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1.023358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3,299,899,923.73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63,245,871.63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截至报告期末，本产品A32038份额净值为1.023358元，A32046份额净值为1.022204元，A32047份额净值为1.021509元。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1,261,505,959.43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09230422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23农发清发22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502,325,500.00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421,856,271.78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392,919,019.60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298,753,324.52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219,722,191.40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204,413,793.10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0101010000001201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南京银行南京分行南银理财鼎瑞悦稳最低持有60天1号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产品投资关联方作为管理人的资产管理产品交易金额1,247,100,000.00元。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产品支付关联方托管费251,481.54元，支付关联方代销费1,037,508.58元。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