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南银理财鼎瑞悦稳（最低持有189天）公募人民币理财产品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南银理财鼎瑞悦稳（最低持有189天）公募人民币理财产品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Z7003224000160（投资者可依据该编码在中国理财网www.chinawealth.com.cn查询理财产品相关信息）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2024年08月08日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8,502,780,145.54份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粮信托有限责任公司,国投泰康信托有限公司,大成基金管理有限公司,富国基金管理有限公司,广发基金管理有限公司,招商基金管理有限公司,紫金信托有限责任公司,鑫元基金管理有限公司,陆家嘴国际信托有限公司,交银施罗德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6,301,636,608.15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1.029273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1.029273</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2,295,192,041.02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1.027825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1.027825</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151,571,967.31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1.028901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截至报告期末，本产品A32033份额净值为1.029273元，A32034份额净值为1.027825元，A32067份额净值为1.028901元。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2,292,117,521.56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1,576,706,971.60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1,058,788,105.60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602,918,858.60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09230422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23农发清发22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401,860,400.00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112502144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25工商银行CD144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295,091,100.00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204,828,158.11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南京银行南京分行南银理财鼎瑞悦稳最低持有189天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产品投资关联方作为管理人的资产管理产品交易金额753,000,000.00元。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产品支付关联方托管费497,854.34元，支付关联方代销费3,064,219.57元。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