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南银理财珠联璧合鑫逸稳半年93期封闭式公募人民币理财产品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南银理财珠联璧合鑫逸稳半年93期封闭式公募人民币理财产品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Z7003224000193（投资者可依据该编码在中国理财网www.chinawealth.com.cn查询理财产品相关信息）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2024年09月25日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164,222,402.00份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中粮信托有限责任公司,华鑫国际信托有限公司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Y70093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87,854,864.61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Y71093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53,964,567.63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1.0068</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Y72093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12,235,630.08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Y73093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11,273,614.91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1.0073</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  后续我们将继续研判市场，积极把握市场机会，将以中性策略应对，对于合意的信用债资产保持积极配置，保持适度杠杆以增厚票息收益，控制久期，为客户提供稳定的收益回报。</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  本理财产品主要投向具有良好流动性的标准化债券资产，持仓中维持合理比例高流动性资产，杠杆处于合理水平，流动性状况较好。</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截至报告期末，本产品Y70093份额净值为1.0065元，Y71093份额净值为1.0068元，Y72093份额净值为1.0070元，Y73093份额净值为1.0073元。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84.92%</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15.08%</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ZJQTT202309150001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中粮信托-鼎兴6号集合资金信托计划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145,153,149.52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87.80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XTDKX202409230021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华鑫信托·嘉盈月满5号集合资金信托计划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18,099,000.00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10.95</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华鑫信托·嘉盈月满5号集合资金信托计划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0101040000001191</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南京银行南京分行南银理财鑫逸稳半年93期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