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B24A6" w:rsidRDefault="003B24A6">
      <w:pPr>
        <w:spacing w:before="240" w:after="72" w:line="360" w:lineRule="auto"/>
        <w:rPr>
          <w:rFonts w:asciiTheme="minorEastAsia" w:eastAsiaTheme="minorEastAsia" w:hAnsiTheme="minorEastAsia"/>
        </w:rPr>
      </w:pPr>
    </w:p>
    <w:p w:rsidR="003B24A6" w:rsidRDefault="003B24A6">
      <w:pPr>
        <w:spacing w:before="240" w:after="72" w:line="360" w:lineRule="auto"/>
        <w:rPr>
          <w:rFonts w:asciiTheme="minorEastAsia" w:eastAsiaTheme="minorEastAsia" w:hAnsiTheme="minorEastAsia"/>
        </w:rPr>
      </w:pPr>
    </w:p>
    <w:p w:rsidR="003B24A6" w:rsidRDefault="003B24A6">
      <w:pPr>
        <w:spacing w:before="240" w:after="72" w:line="360" w:lineRule="auto"/>
        <w:rPr>
          <w:rFonts w:asciiTheme="minorEastAsia" w:eastAsiaTheme="minorEastAsia" w:hAnsiTheme="minorEastAsia"/>
        </w:rPr>
      </w:pPr>
    </w:p>
    <w:p w:rsidR="003B24A6" w:rsidRDefault="00C912CD">
      <w:pPr>
        <w:snapToGrid w:val="0"/>
        <w:spacing w:before="240" w:after="72" w:line="360" w:lineRule="auto"/>
        <w:jc w:val="center"/>
        <w:rPr>
          <w:rFonts w:ascii="方正黑体简体" w:eastAsia="方正黑体简体" w:hAnsi="Calibri"/>
          <w:sz w:val="36"/>
        </w:rPr>
      </w:pPr>
      <w:r>
        <w:rPr>
          <w:rFonts w:ascii="方正黑体简体" w:eastAsia="方正黑体简体" w:hAnsi="Calibri" w:hint="eastAsia"/>
          <w:sz w:val="36"/>
        </w:rPr>
        <w:t>南银理财珠联璧合鑫逸稳两年68期封闭式公募人民币理财产品</w:t>
      </w:r>
    </w:p>
    <w:p w:rsidR="003B24A6" w:rsidRDefault="00C912CD">
      <w:pPr>
        <w:snapToGrid w:val="0"/>
        <w:spacing w:before="240" w:after="72" w:line="360" w:lineRule="auto"/>
        <w:jc w:val="center"/>
        <w:rPr>
          <w:rFonts w:ascii="方正黑体简体" w:eastAsia="方正黑体简体" w:hAnsi="Calibri"/>
          <w:sz w:val="36"/>
        </w:rPr>
      </w:pPr>
      <w:r>
        <w:rPr>
          <w:rFonts w:ascii="方正黑体简体" w:eastAsia="方正黑体简体" w:hAnsi="Calibri" w:hint="eastAsia"/>
          <w:sz w:val="36"/>
        </w:rPr>
        <w:t>2024年第4季度报告</w:t>
      </w:r>
    </w:p>
    <w:p w:rsidR="003B24A6" w:rsidRDefault="003B24A6">
      <w:pPr>
        <w:spacing w:before="240" w:after="72" w:line="360" w:lineRule="auto"/>
        <w:jc w:val="center"/>
        <w:rPr>
          <w:rFonts w:ascii="方正黑体简体" w:eastAsia="方正黑体简体"/>
          <w:sz w:val="36"/>
          <w:szCs w:val="36"/>
        </w:rPr>
      </w:pPr>
    </w:p>
    <w:p w:rsidR="003B24A6" w:rsidRDefault="003B24A6">
      <w:pPr>
        <w:spacing w:before="240" w:after="72" w:line="360" w:lineRule="auto"/>
        <w:jc w:val="center"/>
        <w:rPr>
          <w:rFonts w:ascii="方正黑体简体" w:eastAsia="方正黑体简体"/>
          <w:sz w:val="36"/>
          <w:szCs w:val="36"/>
        </w:rPr>
      </w:pPr>
    </w:p>
    <w:p w:rsidR="003B24A6" w:rsidRDefault="003B24A6">
      <w:pPr>
        <w:spacing w:before="240" w:after="72" w:line="360" w:lineRule="auto"/>
        <w:jc w:val="center"/>
        <w:rPr>
          <w:rFonts w:ascii="方正黑体简体" w:eastAsia="方正黑体简体"/>
          <w:sz w:val="36"/>
          <w:szCs w:val="36"/>
        </w:rPr>
      </w:pPr>
    </w:p>
    <w:p w:rsidR="003B24A6" w:rsidRDefault="003B24A6">
      <w:pPr>
        <w:spacing w:before="240" w:after="72" w:line="360" w:lineRule="auto"/>
        <w:jc w:val="center"/>
        <w:rPr>
          <w:rFonts w:ascii="方正黑体简体" w:eastAsia="方正黑体简体"/>
          <w:sz w:val="36"/>
          <w:szCs w:val="36"/>
        </w:rPr>
      </w:pPr>
    </w:p>
    <w:p w:rsidR="003B24A6" w:rsidRDefault="00C912CD">
      <w:pPr>
        <w:snapToGrid w:val="0"/>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产品管理人:南银理财有限责任公司</w:t>
      </w:r>
    </w:p>
    <w:p w:rsidR="003B24A6" w:rsidRDefault="00C912CD">
      <w:pPr>
        <w:snapToGrid w:val="0"/>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产品托管人:南京银行股份有限公司</w:t>
      </w:r>
    </w:p>
    <w:p w:rsidR="003B24A6" w:rsidRDefault="003B24A6">
      <w:pPr>
        <w:spacing w:before="240" w:after="72" w:line="360" w:lineRule="auto"/>
        <w:rPr>
          <w:rFonts w:ascii="方正黑体简体" w:eastAsia="方正黑体简体"/>
          <w:sz w:val="36"/>
          <w:szCs w:val="36"/>
        </w:rPr>
      </w:pPr>
    </w:p>
    <w:p w:rsidR="003B24A6" w:rsidRDefault="003B24A6">
      <w:pPr>
        <w:spacing w:before="240" w:after="72" w:line="360" w:lineRule="auto"/>
        <w:rPr>
          <w:rFonts w:ascii="方正黑体简体" w:eastAsia="方正黑体简体"/>
          <w:sz w:val="36"/>
          <w:szCs w:val="36"/>
        </w:rPr>
      </w:pPr>
    </w:p>
    <w:p w:rsidR="003B24A6" w:rsidRDefault="00C912CD">
      <w:pPr>
        <w:widowControl/>
        <w:spacing w:before="240" w:afterLines="0" w:line="360" w:lineRule="auto"/>
        <w:jc w:val="left"/>
        <w:rPr>
          <w:rFonts w:ascii="方正仿宋_GBK" w:eastAsia="方正仿宋_GBK" w:hAnsi="Calibri"/>
          <w:b/>
        </w:rPr>
      </w:pPr>
      <w:r>
        <w:rPr>
          <w:rFonts w:ascii="方正仿宋_GBK" w:eastAsia="方正仿宋_GBK" w:hAnsi="Calibri"/>
          <w:b/>
        </w:rPr>
        <w:br w:type="page"/>
      </w: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lastRenderedPageBreak/>
        <w:t>§1 产品概况</w:t>
      </w:r>
    </w:p>
    <w:tbl>
      <w:tblPr>
        <w:tblpPr w:leftFromText="180" w:rightFromText="180" w:vertAnchor="text" w:tblpY="1"/>
        <w:tblOverlap w:val="never"/>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719"/>
        <w:gridCol w:w="6178"/>
      </w:tblGrid>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南银理财珠联璧合鑫逸稳两年68期封闭式公募人民币理财产品</w:t>
            </w:r>
          </w:p>
        </w:tc>
      </w:tr>
      <w:tr w:rsidR="003B24A6">
        <w:trPr>
          <w:trHeight w:val="1300"/>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Z7003224000070（投资者可依据该编码在中国理财网www.chinawealth.com.cn查询理财产品相关信息）</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封闭式净值型</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2024年04月17日</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292,959,193.00份</w:t>
            </w:r>
          </w:p>
        </w:tc>
      </w:tr>
      <w:tr w:rsidR="003B24A6">
        <w:trPr>
          <w:trHeight w:val="688"/>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国联基金管理有限公司,陆家嘴国际信托有限公司,中国对外经济贸易信托有限公司</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3B24A6" w:rsidRDefault="003B24A6">
      <w:pPr>
        <w:spacing w:before="240" w:after="72" w:line="360" w:lineRule="auto"/>
        <w:rPr>
          <w:rFonts w:ascii="方正仿宋_GBK" w:eastAsia="方正仿宋_GBK" w:hAnsi="宋体" w:cs="宋体"/>
          <w:kern w:val="0"/>
          <w:sz w:val="24"/>
          <w:szCs w:val="24"/>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§2  主要财务指标</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2.1 主要财务指标</w:t>
      </w:r>
    </w:p>
    <w:p w:rsidR="003B24A6" w:rsidRDefault="00C912CD">
      <w:pPr>
        <w:spacing w:before="240" w:after="72" w:line="360" w:lineRule="auto"/>
        <w:jc w:val="right"/>
        <w:rPr>
          <w:rFonts w:ascii="方正仿宋简体" w:eastAsia="方正仿宋简体"/>
          <w:sz w:val="24"/>
          <w:szCs w:val="24"/>
        </w:rPr>
      </w:pPr>
      <w:r>
        <w:rPr>
          <w:rFonts w:ascii="方正仿宋简体" w:eastAsia="方正仿宋简体" w:hint="eastAsia"/>
          <w:sz w:val="24"/>
          <w:szCs w:val="24"/>
        </w:rPr>
        <w:t>单位：人民币元</w:t>
      </w:r>
    </w:p>
    <w:tbl>
      <w:tblPr>
        <w:tblpPr w:leftFromText="180" w:rightFromText="180" w:vertAnchor="text" w:tblpXSpec="center" w:tblpY="1"/>
        <w:tblOverlap w:val="neve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838"/>
        <w:gridCol w:w="2693"/>
        <w:gridCol w:w="2410"/>
        <w:gridCol w:w="2126"/>
      </w:tblGrid>
      <w:tr w:rsidR="003B24A6">
        <w:trPr>
          <w:trHeight w:val="699"/>
          <w:jc w:val="center"/>
        </w:trPr>
        <w:tc>
          <w:tcPr>
            <w:tcW w:w="1838" w:type="dxa"/>
            <w:vMerge w:val="restart"/>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内部销售代码</w:t>
            </w:r>
          </w:p>
        </w:tc>
        <w:tc>
          <w:tcPr>
            <w:tcW w:w="7229" w:type="dxa"/>
            <w:gridSpan w:val="3"/>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报告期（2024年10月01日 - 2024年12月31日）</w:t>
            </w:r>
          </w:p>
        </w:tc>
      </w:tr>
      <w:tr w:rsidR="003B24A6">
        <w:trPr>
          <w:trHeight w:val="1697"/>
          <w:jc w:val="center"/>
        </w:trPr>
        <w:tc>
          <w:tcPr>
            <w:tcW w:w="1838" w:type="dxa"/>
            <w:vMerge/>
            <w:vAlign w:val="center"/>
          </w:tcPr>
          <w:p w:rsidR="003B24A6" w:rsidRDefault="003B24A6" w:rsidP="007A5648">
            <w:pPr>
              <w:spacing w:beforeLines="20" w:afterLines="20"/>
              <w:jc w:val="center"/>
              <w:rPr>
                <w:rFonts w:ascii="方正仿宋简体" w:eastAsia="方正仿宋简体"/>
                <w:sz w:val="24"/>
                <w:szCs w:val="24"/>
              </w:rPr>
            </w:pPr>
          </w:p>
        </w:tc>
        <w:tc>
          <w:tcPr>
            <w:tcW w:w="2693"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1.期末产品最后一个市场交易日资产净值</w:t>
            </w:r>
          </w:p>
        </w:tc>
        <w:tc>
          <w:tcPr>
            <w:tcW w:w="2410"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2.期末产品最后一个市场交易日份额净值</w:t>
            </w:r>
          </w:p>
        </w:tc>
        <w:tc>
          <w:tcPr>
            <w:tcW w:w="2126"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3.期末产品最后一个市场交易日份额累计净值</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Y60068</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190,215,666.42</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1.0257</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1.0257</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Y61068</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88,370,551.04</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1.0264</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1.0264</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Y62068</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22,012,682.99</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1.0272</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1.0272</w:t>
            </w:r>
          </w:p>
        </w:tc>
      </w:tr>
    </w:tbl>
    <w:p w:rsidR="003B24A6" w:rsidRDefault="00C912CD">
      <w:pPr>
        <w:pStyle w:val="biaogeleft"/>
        <w:spacing w:before="240" w:after="72" w:line="360" w:lineRule="auto"/>
        <w:ind w:left="0"/>
        <w:rPr>
          <w:rFonts w:ascii="方正仿宋简体" w:eastAsia="方正仿宋简体" w:hAnsi="Times New Roman" w:cs="Times New Roman"/>
          <w:kern w:val="2"/>
        </w:rPr>
      </w:pPr>
      <w:r>
        <w:rPr>
          <w:rFonts w:ascii="方正仿宋简体" w:eastAsia="方正仿宋简体" w:hAnsi="Times New Roman" w:cs="Times New Roman" w:hint="eastAsia"/>
          <w:kern w:val="2"/>
        </w:rPr>
        <w:t>注：产品净值可能存在未扣除管理人及投资合作机构业绩报酬、赎回费等费用（如有）的情况，实际收益以兑付为准。</w:t>
      </w:r>
    </w:p>
    <w:p w:rsidR="003B24A6" w:rsidRDefault="003B24A6">
      <w:pPr>
        <w:spacing w:before="240" w:after="72" w:line="360" w:lineRule="auto"/>
        <w:rPr>
          <w:rFonts w:ascii="方正仿宋_GBK" w:eastAsia="方正仿宋_GBK"/>
          <w:sz w:val="24"/>
          <w:szCs w:val="24"/>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§3  管理人报告</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3.1 报告期内产品的投资策略和运作分析</w:t>
      </w:r>
    </w:p>
    <w:p w:rsidR="003B24A6" w:rsidRDefault="00C912CD">
      <w:pPr>
        <w:spacing w:before="240" w:after="72" w:line="360" w:lineRule="auto"/>
        <w:rPr>
          <w:rFonts w:ascii="方正仿宋简体" w:eastAsia="方正仿宋简体"/>
          <w:sz w:val="24"/>
          <w:szCs w:val="24"/>
        </w:rPr>
      </w:pPr>
      <w:r>
        <w:rPr>
          <w:rFonts w:ascii="方正仿宋简体" w:eastAsia="方正仿宋简体" w:hint="eastAsia"/>
          <w:sz w:val="24"/>
          <w:szCs w:val="24"/>
        </w:rPr>
        <w:t>  2024年4季度，债券市场经过9月份快速调整后，市场利率重新进入下行通道，货币政策定调适度宽松，机构提前交易降准降息，同业存款自律机制推出，加速了短端利率的下行。12月机构普遍担心的政府债集中供给，也没有引发市场调整，叠加基本面数据复苏偏弱，使得利率下行基本没有遇到抵抗，机构在11月底便提前抢跑，至年末，30年国债利率下行至1.91%，10年期下行至1.67%。</w:t>
        <w:br w:type="textWrapping" w:clear="all"/>
      </w:r>
      <w:r>
        <w:rPr>
          <w:rFonts w:ascii="方正仿宋简体" w:eastAsia="方正仿宋简体" w:hint="eastAsia"/>
          <w:sz w:val="24"/>
          <w:szCs w:val="24"/>
        </w:rPr>
        <w:t>  展望一季度，基本面复苏力度仍有待验证，四季度降准落空，提高了一季度降准降息的概率。特朗普上台对华政策影响外贸出口，经济再次承压，需要财政和货币政策发力对冲。一季度较难看到利率反转的机会，如遇到调整，可继续参与长端利率。地方化债，城投退平台，使得3年内短期城投债更加稀缺，关注该品种的投资机会。</w:t>
        <w:br w:type="textWrapping" w:clear="all"/>
      </w:r>
      <w:r>
        <w:rPr>
          <w:rFonts w:ascii="方正仿宋简体" w:eastAsia="方正仿宋简体" w:hint="eastAsia"/>
          <w:sz w:val="24"/>
          <w:szCs w:val="24"/>
        </w:rPr>
        <w:t>  鑫逸稳两年期封闭式产品，今年四季度产品操作稳健偏积极。四季度债券市场呈现修复走势，利率债、存单、信用债等陆续向下突破，信用债信用利差、以及各品种利差压缩为主，债市在资金环境相对平稳宽松的背景下，交易盘、配置盘相继推动走出一波幅度较大的年末行情，不少期限品种创历史新低。四季度产品运作过程中操作转向积极，注重回撤控制的同时积极增厚收益，四季度初把握债券估值性价比相对较高的窗口期，寻找个券配置机会，提升组合静态，组合运作适度提升了杠杆水平以增厚产品收益。市场机会把握方面，除了企业类信用品种外，主要关注并参与了银行资本补充工具、利率债等的投资机会，获得了不错的波段交易收益。下一阶段，产品将继续围绕稳健回报的收益目标进行操作，审慎精选票息品种，久期维持中性水平跟住市场，及时做好市场走势的跟踪与研判，挖掘潜在投资机会。</w:t>
      </w:r>
      <w:r>
        <w:rPr>
          <w:rFonts w:ascii="方正仿宋简体" w:eastAsia="方正仿宋简体" w:hint="eastAsia"/>
          <w:sz w:val="24"/>
          <w:szCs w:val="24"/>
        </w:rPr>
        <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3.2 报告期内产品的流动性风险分析</w:t>
      </w:r>
    </w:p>
    <w:p w:rsidR="003B24A6" w:rsidRDefault="00C912CD">
      <w:pPr>
        <w:spacing w:before="240" w:after="72" w:line="360" w:lineRule="auto"/>
        <w:rPr>
          <w:rFonts w:ascii="方正仿宋简体" w:eastAsia="方正仿宋简体"/>
          <w:sz w:val="24"/>
          <w:szCs w:val="24"/>
        </w:rPr>
      </w:pPr>
      <w:r>
        <w:rPr>
          <w:rFonts w:ascii="方正仿宋简体" w:eastAsia="方正仿宋简体"/>
          <w:sz w:val="24"/>
          <w:szCs w:val="24"/>
        </w:rPr>
        <w:t>  今年四季度以来，资金环境整体维持平稳，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3.3 报告期内产品的业绩表现</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截至报告期末，本产品Y60068份额净值为1.0257元，Y61068份额净值为1.0264元，Y62068份额净值为1.0272元。</w:t>
      </w:r>
    </w:p>
    <w:p w:rsidR="003B24A6" w:rsidRDefault="003B24A6">
      <w:pPr>
        <w:spacing w:before="240" w:after="72" w:line="360" w:lineRule="auto"/>
        <w:rPr>
          <w:rFonts w:ascii="方正仿宋_GBK" w:eastAsia="方正仿宋_GBK" w:hAnsi="宋体"/>
          <w:sz w:val="24"/>
          <w:szCs w:val="24"/>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§4  投资组合报告</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4.1 报告期末产品资产组合情况</w:t>
      </w:r>
    </w:p>
    <w:tbl>
      <w:tblPr>
        <w:tblpPr w:leftFromText="180" w:rightFromText="180" w:vertAnchor="text" w:tblpXSpec="center" w:tblpY="1"/>
        <w:tblOverlap w:val="never"/>
        <w:tblW w:w="8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59"/>
        <w:gridCol w:w="3002"/>
        <w:gridCol w:w="3289"/>
      </w:tblGrid>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资产类别</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穿透前占总资产比例</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穿透后占总资产比例</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lastRenderedPageBreak/>
              <w:t>1</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固定收益类</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2</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权益类</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3</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商品及金融衍生品类</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4</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混合类</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5</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合计</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r>
    </w:tbl>
    <w:p w:rsidR="003B24A6" w:rsidRDefault="003B24A6">
      <w:pPr>
        <w:spacing w:before="240" w:after="72" w:line="360" w:lineRule="auto"/>
        <w:rPr>
          <w:rFonts w:ascii="方正仿宋_GBK" w:eastAsia="方正仿宋_GBK"/>
          <w:sz w:val="24"/>
          <w:szCs w:val="24"/>
        </w:rPr>
      </w:pP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4.2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50"/>
        <w:gridCol w:w="1581"/>
        <w:gridCol w:w="2712"/>
        <w:gridCol w:w="2052"/>
        <w:gridCol w:w="1807"/>
      </w:tblGrid>
      <w:tr w:rsidR="003B24A6">
        <w:trPr>
          <w:trHeight w:val="1233"/>
          <w:jc w:val="center"/>
        </w:trPr>
        <w:tc>
          <w:tcPr>
            <w:tcW w:w="750"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581"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代码</w:t>
            </w:r>
          </w:p>
        </w:tc>
        <w:tc>
          <w:tcPr>
            <w:tcW w:w="2712"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名称</w:t>
            </w:r>
          </w:p>
        </w:tc>
        <w:tc>
          <w:tcPr>
            <w:tcW w:w="2052"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公允价值（元）</w:t>
            </w:r>
          </w:p>
        </w:tc>
        <w:tc>
          <w:tcPr>
            <w:tcW w:w="1807"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占产品资产净值比例（％）</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XTDKX202404260022</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陆家嘴信托稳新南银明心13号集合资金计划第1期2</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145,529,157.20</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48.41</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ZJQTT202302210001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外贸信托-鑫华优享2号证券投资集合资金信托计划</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104,043,485.68</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34.61</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ZJQTT202306290002</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国联基金-鑫福2号集合资产管理计划</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51,975,774.44</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17.29</w:t>
            </w:r>
          </w:p>
        </w:tc>
      </w:tr>
    </w:tbl>
    <w:p w:rsidR="003B24A6" w:rsidRDefault="003B24A6">
      <w:pPr>
        <w:spacing w:before="240" w:after="72" w:line="360" w:lineRule="auto"/>
        <w:rPr>
          <w:rFonts w:ascii="方正仿宋_GBK" w:eastAsia="方正仿宋_GBK" w:hAnsi="宋体" w:cs="宋体"/>
          <w:sz w:val="24"/>
          <w:szCs w:val="24"/>
          <w:shd w:val="clear" w:color="auto" w:fill="FFFFFF"/>
        </w:rPr>
      </w:pP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4.3报告期末非标准化债权类资产明细</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383"/>
        <w:gridCol w:w="1271"/>
        <w:gridCol w:w="876"/>
      </w:tblGrid>
      <w:tr w:rsidR="003B24A6">
        <w:trPr>
          <w:trHeight w:val="1078"/>
          <w:jc w:val="center"/>
        </w:trPr>
        <w:tc>
          <w:tcPr>
            <w:tcW w:w="877"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融资客户</w:t>
            </w:r>
          </w:p>
        </w:tc>
        <w:tc>
          <w:tcPr>
            <w:tcW w:w="1275"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项目名称</w:t>
            </w:r>
          </w:p>
        </w:tc>
        <w:tc>
          <w:tcPr>
            <w:tcW w:w="1540"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剩余融资期限（</w:t>
            </w:r>
            <w:r>
              <w:rPr>
                <w:rFonts w:ascii="方正仿宋简体" w:eastAsia="方正仿宋简体"/>
                <w:sz w:val="24"/>
                <w:szCs w:val="24"/>
              </w:rPr>
              <w:t>天）</w:t>
            </w:r>
          </w:p>
        </w:tc>
        <w:tc>
          <w:tcPr>
            <w:tcW w:w="1383"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到期收益分配</w:t>
            </w:r>
          </w:p>
        </w:tc>
        <w:tc>
          <w:tcPr>
            <w:tcW w:w="1271"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交易结构</w:t>
            </w:r>
          </w:p>
        </w:tc>
        <w:tc>
          <w:tcPr>
            <w:tcW w:w="876"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风险状况</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连云港海州工业投资集团有限公司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陆家嘴信托稳新南银明心13号集合资金计划第1期2</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112</w:t>
            </w:r>
          </w:p>
        </w:tc>
        <w:tc>
          <w:tcPr>
            <w:tcW w:w="13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3B24A6" w:rsidRDefault="003B24A6">
      <w:pPr>
        <w:spacing w:before="240" w:after="72" w:line="360" w:lineRule="auto"/>
        <w:rPr>
          <w:rFonts w:ascii="方正仿宋_GBK" w:eastAsia="方正仿宋_GBK" w:hAnsi="宋体" w:cs="宋体"/>
          <w:sz w:val="24"/>
          <w:szCs w:val="24"/>
          <w:shd w:val="clear" w:color="auto" w:fill="FFFFFF"/>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§5 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46"/>
        <w:gridCol w:w="1417"/>
        <w:gridCol w:w="2668"/>
        <w:gridCol w:w="1983"/>
        <w:gridCol w:w="1988"/>
      </w:tblGrid>
      <w:tr w:rsidR="003B24A6">
        <w:trPr>
          <w:trHeight w:val="584"/>
          <w:jc w:val="center"/>
        </w:trPr>
        <w:tc>
          <w:tcPr>
            <w:tcW w:w="846"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417"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账户类型</w:t>
            </w:r>
          </w:p>
        </w:tc>
        <w:tc>
          <w:tcPr>
            <w:tcW w:w="2668"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账号</w:t>
            </w:r>
          </w:p>
        </w:tc>
        <w:tc>
          <w:tcPr>
            <w:tcW w:w="1983"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账户名称</w:t>
            </w:r>
          </w:p>
        </w:tc>
        <w:tc>
          <w:tcPr>
            <w:tcW w:w="1988"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开户单位</w:t>
            </w:r>
          </w:p>
        </w:tc>
      </w:tr>
      <w:tr>
        <w:trPr>
          <w:trHeight w:val="584"/>
          <w:jc w:val="center"/>
        </w:trPr>
        <w:tc>
          <w:tcPr>
            <w:tcW w:w="84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0101010000000975</w:t>
            </w:r>
          </w:p>
        </w:tc>
        <w:tc>
          <w:tcPr>
            <w:tcW w:w="19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南京银行南京分行南银理财鑫逸稳两年68期</w:t>
            </w:r>
          </w:p>
        </w:tc>
        <w:tc>
          <w:tcPr>
            <w:tcW w:w="198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rsidR="003B24A6" w:rsidRDefault="003B24A6">
      <w:pPr>
        <w:spacing w:afterLines="0" w:line="360" w:lineRule="auto"/>
        <w:rPr>
          <w:rFonts w:ascii="方正仿宋_GBK" w:eastAsia="方正仿宋_GBK"/>
          <w:sz w:val="24"/>
          <w:szCs w:val="24"/>
        </w:rPr>
      </w:pPr>
    </w:p>
    <w:p w:rsidR="003B24A6" w:rsidRDefault="003B24A6">
      <w:pPr>
        <w:spacing w:before="240" w:after="72" w:line="360" w:lineRule="auto"/>
        <w:jc w:val="center"/>
        <w:rPr>
          <w:rFonts w:ascii="方正仿宋_GBK" w:eastAsia="方正仿宋_GBK"/>
          <w:b/>
          <w:sz w:val="24"/>
          <w:szCs w:val="24"/>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§6 关联交易情况</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报告期内，</w:t>
      </w:r>
      <w:r>
        <w:rPr>
          <w:rFonts w:ascii="方正仿宋简体" w:eastAsia="方正仿宋简体" w:hAnsi="宋体" w:cs="宋体" w:hint="eastAsia"/>
          <w:color w:val="000000"/>
          <w:kern w:val="0"/>
          <w:sz w:val="24"/>
          <w:szCs w:val="24"/>
        </w:rPr>
        <w:t>产品投资于关联方发行的证券</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bookmarkStart w:id="0" w:name="_GoBack"/>
      <w:bookmarkEnd w:id="0"/>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产品投资于关联方作为融资人的非标准化债权类资产业务交易金额0.00元。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产品投资于关联方承销的证券交易金额0.00元。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产品与关联方作为交易对手开展的投融资业务交易金额0.00元。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产品投资关联方作为管理人的资产管理产品交易金额0.00元。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产品支付关联方托管费0.00元，支付关联方代销费0.00元。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lastRenderedPageBreak/>
        <w:t>产品发生其他关联交易金额0.00元。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报告期内，产品未发生重大关联交易。</w:t>
      </w:r>
    </w:p>
    <w:p w:rsidR="003B24A6" w:rsidRDefault="003B24A6">
      <w:pPr>
        <w:spacing w:before="240" w:after="72" w:line="360" w:lineRule="auto"/>
        <w:rPr>
          <w:rFonts w:ascii="方正仿宋_GBK" w:eastAsia="方正仿宋_GBK" w:hAnsi="宋体" w:cs="宋体"/>
          <w:kern w:val="0"/>
          <w:sz w:val="24"/>
          <w:szCs w:val="24"/>
        </w:rPr>
      </w:pPr>
    </w:p>
    <w:p w:rsidR="003B24A6" w:rsidRDefault="003B24A6">
      <w:pPr>
        <w:spacing w:before="240" w:after="72" w:line="360" w:lineRule="auto"/>
        <w:rPr>
          <w:rFonts w:ascii="方正仿宋_GBK" w:eastAsia="方正仿宋_GBK" w:hAnsi="宋体" w:cs="宋体"/>
          <w:kern w:val="0"/>
          <w:sz w:val="24"/>
          <w:szCs w:val="24"/>
        </w:rPr>
      </w:pPr>
    </w:p>
    <w:p w:rsidR="003B24A6" w:rsidRDefault="003B24A6">
      <w:pPr>
        <w:spacing w:before="240" w:after="72" w:line="360" w:lineRule="auto"/>
        <w:jc w:val="right"/>
        <w:rPr>
          <w:rFonts w:ascii="方正仿宋_GBK" w:eastAsia="方正仿宋_GBK"/>
          <w:b/>
          <w:sz w:val="24"/>
          <w:szCs w:val="24"/>
        </w:rPr>
      </w:pPr>
    </w:p>
    <w:p w:rsidR="003B24A6" w:rsidRDefault="00C912CD">
      <w:pPr>
        <w:spacing w:before="240" w:after="72" w:line="360" w:lineRule="auto"/>
        <w:jc w:val="right"/>
        <w:rPr>
          <w:rFonts w:ascii="方正仿宋简体" w:eastAsia="方正仿宋简体"/>
          <w:b/>
          <w:sz w:val="24"/>
          <w:szCs w:val="24"/>
        </w:rPr>
      </w:pPr>
      <w:r>
        <w:rPr>
          <w:rFonts w:ascii="方正仿宋简体" w:eastAsia="方正仿宋简体" w:hint="eastAsia"/>
          <w:b/>
          <w:sz w:val="24"/>
          <w:szCs w:val="24"/>
        </w:rPr>
        <w:t>南银理财有限责任公司</w:t>
      </w:r>
    </w:p>
    <w:p w:rsidR="003B24A6" w:rsidRDefault="00C912CD">
      <w:pPr>
        <w:spacing w:before="240" w:after="72" w:line="360" w:lineRule="auto"/>
        <w:jc w:val="right"/>
        <w:rPr>
          <w:rFonts w:ascii="方正仿宋简体" w:eastAsia="方正仿宋简体"/>
          <w:b/>
          <w:sz w:val="24"/>
          <w:szCs w:val="24"/>
        </w:rPr>
      </w:pPr>
      <w:r>
        <w:rPr>
          <w:rFonts w:ascii="方正仿宋简体" w:eastAsia="方正仿宋简体" w:hint="eastAsia"/>
          <w:b/>
          <w:sz w:val="24"/>
          <w:szCs w:val="24"/>
        </w:rPr>
        <w:t>2024年12月31日</w:t>
      </w:r>
    </w:p>
    <w:p w:rsidR="003B24A6" w:rsidRDefault="003B24A6">
      <w:pPr>
        <w:spacing w:before="240" w:after="72" w:line="360" w:lineRule="auto"/>
        <w:rPr>
          <w:rFonts w:ascii="方正仿宋_GBK" w:eastAsia="方正仿宋_GBK"/>
          <w:sz w:val="24"/>
          <w:szCs w:val="24"/>
        </w:rPr>
      </w:pPr>
    </w:p>
    <w:p w:rsidR="003B24A6" w:rsidRDefault="003B24A6">
      <w:pPr>
        <w:spacing w:before="240" w:after="72" w:line="360" w:lineRule="auto"/>
        <w:rPr>
          <w:rFonts w:ascii="方正仿宋_GBK" w:eastAsia="方正仿宋_GBK"/>
          <w:sz w:val="24"/>
          <w:szCs w:val="24"/>
        </w:rPr>
      </w:pPr>
    </w:p>
    <w:sectPr w:rsidR="003B24A6" w:rsidSect="003B24A6">
      <w:headerReference w:type="even" r:id="rId7"/>
      <w:headerReference w:type="default" r:id="rId8"/>
      <w:footerReference w:type="even" r:id="rId9"/>
      <w:footerReference w:type="default" r:id="rId10"/>
      <w:headerReference w:type="first" r:id="rId11"/>
      <w:footerReference w:type="first" r:id="rId12"/>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15F87" w:rsidRDefault="00E15F87" w:rsidP="00F948EF">
      <w:pPr>
        <w:spacing w:after="72"/>
      </w:pPr>
      <w:r>
        <w:separator/>
      </w:r>
    </w:p>
  </w:endnote>
  <w:endnote w:type="continuationSeparator" w:id="1">
    <w:p w:rsidR="00E15F87" w:rsidRDefault="00E15F87" w:rsidP="00F948EF">
      <w:pPr>
        <w:spacing w:after="72"/>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黑体简体">
    <w:altName w:val="微软雅黑"/>
    <w:charset w:val="86"/>
    <w:family w:val="script"/>
    <w:pitch w:val="default"/>
    <w:sig w:usb0="00000000" w:usb1="00000000" w:usb2="00000010" w:usb3="00000000" w:csb0="00040000" w:csb1="00000000"/>
  </w:font>
  <w:font w:name="方正仿宋简体">
    <w:altName w:val="Arial Unicode MS"/>
    <w:charset w:val="86"/>
    <w:family w:val="script"/>
    <w:pitch w:val="default"/>
    <w:sig w:usb0="00000000" w:usb1="00000000" w:usb2="00000010" w:usb3="00000000" w:csb0="00040000" w:csb1="00000000"/>
  </w:font>
  <w:font w:name="方正仿宋_GBK">
    <w:altName w:val="Arial Unicode MS"/>
    <w:charset w:val="86"/>
    <w:family w:val="script"/>
    <w:pitch w:val="default"/>
    <w:sig w:usb0="00000000" w:usb1="00000000" w:usb2="00000010" w:usb3="00000000" w:csb0="00040000" w:csb1="00000000"/>
  </w:font>
  <w:font w:name="Calibri Light">
    <w:charset w:val="00"/>
    <w:family w:val="swiss"/>
    <w:pitch w:val="default"/>
    <w:sig w:usb0="A00002EF" w:usb1="4000207B" w:usb2="00000000" w:usb3="00000000" w:csb0="2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E455C5">
    <w:pPr>
      <w:pStyle w:val="a3"/>
      <w:framePr w:wrap="around" w:vAnchor="text" w:hAnchor="margin" w:xAlign="center" w:y="1"/>
      <w:spacing w:after="72"/>
      <w:rPr>
        <w:rStyle w:val="a6"/>
      </w:rPr>
    </w:pPr>
    <w:r>
      <w:fldChar w:fldCharType="begin"/>
    </w:r>
    <w:r w:rsidR="00C912CD">
      <w:rPr>
        <w:rStyle w:val="a6"/>
      </w:rPr>
      <w:instrText xml:space="preserve">PAGE  </w:instrText>
    </w:r>
    <w:r>
      <w:fldChar w:fldCharType="end"/>
    </w:r>
  </w:p>
  <w:p w:rsidR="003B24A6" w:rsidRDefault="003B24A6">
    <w:pPr>
      <w:pStyle w:val="a3"/>
      <w:spacing w:after="72"/>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3"/>
      <w:spacing w:after="72"/>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3"/>
      <w:spacing w:after="72"/>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15F87" w:rsidRDefault="00E15F87" w:rsidP="00F948EF">
      <w:pPr>
        <w:spacing w:after="72"/>
      </w:pPr>
      <w:r>
        <w:separator/>
      </w:r>
    </w:p>
  </w:footnote>
  <w:footnote w:type="continuationSeparator" w:id="1">
    <w:p w:rsidR="00E15F87" w:rsidRDefault="00E15F87" w:rsidP="00F948EF">
      <w:pPr>
        <w:spacing w:after="72"/>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4"/>
      <w:spacing w:after="72"/>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4"/>
      <w:spacing w:after="72"/>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4"/>
      <w:spacing w:after="72"/>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717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4A6"/>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9527B"/>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A5648"/>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16B0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26100"/>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770E5"/>
    <w:rsid w:val="00C912CD"/>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15F87"/>
    <w:rsid w:val="00E2696A"/>
    <w:rsid w:val="00E41BB2"/>
    <w:rsid w:val="00E455C5"/>
    <w:rsid w:val="00E463CC"/>
    <w:rsid w:val="00E60602"/>
    <w:rsid w:val="00E66EA9"/>
    <w:rsid w:val="00E76CD6"/>
    <w:rsid w:val="00E80B2A"/>
    <w:rsid w:val="00EA36AD"/>
    <w:rsid w:val="00EB538F"/>
    <w:rsid w:val="00EB5E48"/>
    <w:rsid w:val="00EB6923"/>
    <w:rsid w:val="00EE60F1"/>
    <w:rsid w:val="00EF160C"/>
    <w:rsid w:val="00EF651B"/>
    <w:rsid w:val="00F02F01"/>
    <w:rsid w:val="00F07A35"/>
    <w:rsid w:val="00F11AF8"/>
    <w:rsid w:val="00F12482"/>
    <w:rsid w:val="00F35159"/>
    <w:rsid w:val="00F4518F"/>
    <w:rsid w:val="00F62D3E"/>
    <w:rsid w:val="00F81FB3"/>
    <w:rsid w:val="00F91E69"/>
    <w:rsid w:val="00F948EF"/>
    <w:rsid w:val="00F95842"/>
    <w:rsid w:val="00FA4B34"/>
    <w:rsid w:val="00FD3F28"/>
    <w:rsid w:val="00FD4626"/>
    <w:rsid w:val="00FE2FF5"/>
    <w:rsid w:val="00FE56AA"/>
    <w:rsid w:val="138B4249"/>
    <w:rsid w:val="1F1A3BC0"/>
    <w:rsid w:val="2651710C"/>
    <w:rsid w:val="2C5F4270"/>
    <w:rsid w:val="341F714B"/>
    <w:rsid w:val="57DD4EC8"/>
    <w:rsid w:val="611546EB"/>
    <w:rsid w:val="6C686480"/>
    <w:rsid w:val="6DBF574D"/>
    <w:rsid w:val="7DD408B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page number" w:semiHidden="0" w:qFormat="1"/>
    <w:lsdException w:name="Title" w:semiHidden="0" w:uiPriority="10" w:unhideWhenUsed="0" w:qFormat="1"/>
    <w:lsdException w:name="Default Paragraph Font" w:semiHidden="0"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semiHidden="0"/>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B24A6"/>
    <w:pPr>
      <w:widowControl w:val="0"/>
      <w:spacing w:afterLines="30"/>
      <w:jc w:val="both"/>
    </w:pPr>
    <w:rPr>
      <w:rFonts w:ascii="Times New Roman" w:eastAsia="宋体" w:hAnsi="Times New Roman"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3B24A6"/>
    <w:pPr>
      <w:tabs>
        <w:tab w:val="center" w:pos="4153"/>
        <w:tab w:val="right" w:pos="8306"/>
      </w:tabs>
      <w:snapToGrid w:val="0"/>
      <w:jc w:val="left"/>
    </w:pPr>
    <w:rPr>
      <w:rFonts w:eastAsiaTheme="minorEastAsia"/>
      <w:sz w:val="18"/>
      <w:szCs w:val="18"/>
    </w:rPr>
  </w:style>
  <w:style w:type="paragraph" w:styleId="a4">
    <w:name w:val="header"/>
    <w:basedOn w:val="a"/>
    <w:link w:val="Char0"/>
    <w:uiPriority w:val="99"/>
    <w:unhideWhenUsed/>
    <w:qFormat/>
    <w:rsid w:val="003B24A6"/>
    <w:pPr>
      <w:pBdr>
        <w:bottom w:val="single" w:sz="6" w:space="1" w:color="auto"/>
      </w:pBdr>
      <w:tabs>
        <w:tab w:val="center" w:pos="4153"/>
        <w:tab w:val="right" w:pos="8306"/>
      </w:tabs>
      <w:snapToGrid w:val="0"/>
      <w:jc w:val="center"/>
    </w:pPr>
    <w:rPr>
      <w:sz w:val="18"/>
      <w:szCs w:val="18"/>
    </w:rPr>
  </w:style>
  <w:style w:type="paragraph" w:styleId="a5">
    <w:name w:val="Normal (Web)"/>
    <w:basedOn w:val="a"/>
    <w:qFormat/>
    <w:rsid w:val="003B24A6"/>
    <w:pPr>
      <w:widowControl/>
      <w:spacing w:before="100" w:beforeAutospacing="1" w:after="100" w:afterAutospacing="1"/>
      <w:jc w:val="left"/>
    </w:pPr>
    <w:rPr>
      <w:rFonts w:ascii="宋体" w:hAnsi="宋体"/>
      <w:kern w:val="0"/>
      <w:sz w:val="24"/>
      <w:szCs w:val="24"/>
    </w:rPr>
  </w:style>
  <w:style w:type="character" w:styleId="a6">
    <w:name w:val="page number"/>
    <w:basedOn w:val="a0"/>
    <w:uiPriority w:val="99"/>
    <w:unhideWhenUsed/>
    <w:qFormat/>
    <w:rsid w:val="003B24A6"/>
  </w:style>
  <w:style w:type="character" w:customStyle="1" w:styleId="Char">
    <w:name w:val="页脚 Char"/>
    <w:link w:val="a3"/>
    <w:uiPriority w:val="99"/>
    <w:qFormat/>
    <w:locked/>
    <w:rsid w:val="003B24A6"/>
    <w:rPr>
      <w:rFonts w:ascii="Times New Roman" w:hAnsi="Times New Roman" w:cs="Times New Roman"/>
      <w:sz w:val="18"/>
      <w:szCs w:val="18"/>
    </w:rPr>
  </w:style>
  <w:style w:type="character" w:customStyle="1" w:styleId="Char1">
    <w:name w:val="页脚 Char1"/>
    <w:basedOn w:val="a0"/>
    <w:uiPriority w:val="99"/>
    <w:semiHidden/>
    <w:qFormat/>
    <w:rsid w:val="003B24A6"/>
    <w:rPr>
      <w:rFonts w:ascii="Times New Roman" w:eastAsia="宋体" w:hAnsi="Times New Roman" w:cs="Times New Roman"/>
      <w:sz w:val="18"/>
      <w:szCs w:val="18"/>
    </w:rPr>
  </w:style>
  <w:style w:type="paragraph" w:customStyle="1" w:styleId="biaogeleft">
    <w:name w:val="biaoge_left"/>
    <w:basedOn w:val="a"/>
    <w:qFormat/>
    <w:rsid w:val="003B24A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2">
    <w:name w:val="zhangjie_p2"/>
    <w:basedOn w:val="a"/>
    <w:qFormat/>
    <w:rsid w:val="003B24A6"/>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biaogecenter">
    <w:name w:val="biaoge_center"/>
    <w:basedOn w:val="a"/>
    <w:qFormat/>
    <w:rsid w:val="003B24A6"/>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dazhangjie">
    <w:name w:val="dazhangjie"/>
    <w:basedOn w:val="a"/>
    <w:qFormat/>
    <w:rsid w:val="003B24A6"/>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
    <w:name w:val="正文1"/>
    <w:qFormat/>
    <w:rsid w:val="003B24A6"/>
    <w:pPr>
      <w:jc w:val="both"/>
    </w:pPr>
    <w:rPr>
      <w:rFonts w:ascii="Times New Roman" w:eastAsia="宋体" w:hAnsi="Times New Roman" w:cs="Times New Roman"/>
      <w:kern w:val="2"/>
      <w:sz w:val="21"/>
      <w:szCs w:val="21"/>
    </w:rPr>
  </w:style>
  <w:style w:type="paragraph" w:customStyle="1" w:styleId="biaogeright">
    <w:name w:val="biaoge_right"/>
    <w:basedOn w:val="a"/>
    <w:qFormat/>
    <w:rsid w:val="003B24A6"/>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neirong">
    <w:name w:val="neirong"/>
    <w:basedOn w:val="a"/>
    <w:qFormat/>
    <w:rsid w:val="003B24A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
    <w:name w:val="zhangjie_p"/>
    <w:basedOn w:val="a"/>
    <w:qFormat/>
    <w:rsid w:val="003B24A6"/>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Default">
    <w:name w:val="Default"/>
    <w:qFormat/>
    <w:rsid w:val="003B24A6"/>
    <w:pPr>
      <w:widowControl w:val="0"/>
      <w:autoSpaceDE w:val="0"/>
      <w:autoSpaceDN w:val="0"/>
      <w:adjustRightInd w:val="0"/>
    </w:pPr>
    <w:rPr>
      <w:rFonts w:ascii="宋体" w:eastAsia="宋体" w:hAnsi="Times New Roman" w:cs="宋体"/>
      <w:color w:val="000000"/>
      <w:sz w:val="24"/>
      <w:szCs w:val="24"/>
    </w:rPr>
  </w:style>
  <w:style w:type="character" w:customStyle="1" w:styleId="Char0">
    <w:name w:val="页眉 Char"/>
    <w:basedOn w:val="a0"/>
    <w:link w:val="a4"/>
    <w:uiPriority w:val="99"/>
    <w:qFormat/>
    <w:rsid w:val="003B24A6"/>
    <w:rPr>
      <w:rFonts w:ascii="Times New Roman" w:eastAsia="宋体" w:hAnsi="Times New Roman" w:cs="Times New Roman"/>
      <w:sz w:val="18"/>
      <w:szCs w:val="18"/>
    </w:rPr>
  </w:style>
  <w:style w:type="paragraph" w:styleId="a7">
    <w:name w:val="Body Text"/>
    <w:basedOn w:val="a"/>
    <w:link w:val="Char2"/>
    <w:uiPriority w:val="1"/>
    <w:qFormat/>
    <w:rsid w:val="00F948EF"/>
    <w:pPr>
      <w:autoSpaceDE w:val="0"/>
      <w:autoSpaceDN w:val="0"/>
      <w:spacing w:afterLines="0"/>
      <w:jc w:val="left"/>
    </w:pPr>
    <w:rPr>
      <w:rFonts w:ascii="宋体" w:hAnsi="宋体" w:cs="宋体"/>
      <w:kern w:val="0"/>
      <w:szCs w:val="21"/>
      <w:lang w:val="zh-CN" w:bidi="zh-CN"/>
    </w:rPr>
  </w:style>
  <w:style w:type="character" w:customStyle="1" w:styleId="Char2">
    <w:name w:val="正文文本 Char"/>
    <w:basedOn w:val="a0"/>
    <w:link w:val="a7"/>
    <w:uiPriority w:val="1"/>
    <w:rsid w:val="00F948EF"/>
    <w:rPr>
      <w:rFonts w:ascii="宋体" w:eastAsia="宋体" w:hAnsi="宋体" w:cs="宋体"/>
      <w:sz w:val="21"/>
      <w:szCs w:val="21"/>
      <w:lang w:val="zh-CN" w:bidi="zh-CN"/>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footer2.xml" Type="http://schemas.openxmlformats.org/officeDocument/2006/relationships/footer"/><Relationship Id="rId11" Target="header3.xml" Type="http://schemas.openxmlformats.org/officeDocument/2006/relationships/header"/><Relationship Id="rId12" Target="footer3.xml" Type="http://schemas.openxmlformats.org/officeDocument/2006/relationships/footer"/><Relationship Id="rId13" Target="fontTable.xml" Type="http://schemas.openxmlformats.org/officeDocument/2006/relationships/fontTable"/><Relationship Id="rId14"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header2.xml" Type="http://schemas.openxmlformats.org/officeDocument/2006/relationships/header"/><Relationship Id="rId9" Target="footer1.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6</Pages>
  <Words>320</Words>
  <Characters>1824</Characters>
  <Application>Microsoft Office Word</Application>
  <DocSecurity>0</DocSecurity>
  <Lines>15</Lines>
  <Paragraphs>4</Paragraphs>
  <ScaleCrop>false</ScaleCrop>
  <Company>cc</Company>
  <LinksUpToDate>false</LinksUpToDate>
  <CharactersWithSpaces>2140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yytx</cp:lastModifiedBy>
  <dcterms:modified xsi:type="dcterms:W3CDTF">2025-01-14T08:15:00Z</dcterms:modified>
  <cp:revision>121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65B57D7BDF384424A76A3B84B5FDE380</vt:lpwstr>
  </property>
</Properties>
</file>