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2024年03月13日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504,213,397.00份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199,356,657.87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317,746,406.93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2,958,066.68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截至报告期末，本产品Y60063份额净值为1.0309元，Y61063份额净值为1.0317元，Y62063份额净值为1.0325元。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270,018,525.24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139,183,090.56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112,969,795.68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21.72</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淮安市清浦城市改造建设投资开发有限公司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0101080000000934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