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南银理财珠联璧合鑫逸稳两年37期封闭式公募人民币理财产品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南银理财珠联璧合鑫逸稳两年37期封闭式公募人民币理财产品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Z7003223000159（投资者可依据该编码在中国理财网www.chinawealth.com.cn查询理财产品相关信息）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2023年08月30日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264,071,652.00份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中信信托有限责任公司,国联基金管理有限公司,百瑞信托有限责任公司,中国对外经济贸易信托有限公司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77,420,107.18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96,141,351.98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106,498,043.93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1.0617</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截至报告期末，本产品Y60037份额净值为1.0590元，Y61037份额净值为1.0604元，Y62037份额净值为1.0617元。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114,070,229.45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40.73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XTDKX202310240001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中信信托·兴邦55号固定收益类信托计划（第1期）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43,619,397.37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中信信托·兴邦61号固定收益类信托计划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42,251,014.68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41,191,857.74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XTDKX202409180021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百瑞恒益1570号集合资金信托计划（南瑞1号）第2期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40,174,388.00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14.34</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中信信托·兴邦55号固定收益类信托计划（第1期）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盐城市盐州实业有限公司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中信信托·兴邦61号固定收益类信托计划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百瑞恒益1570号集合资金信托计划（南瑞1号）第2期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0101000000000669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南京银行南京分行南银理财鑫逸稳两年37期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