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南银理财珠联璧合鑫逸稳两年36期封闭式公募人民币理财产品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南银理财珠联璧合鑫逸稳两年36期封闭式公募人民币理财产品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Z7003223000158（投资者可依据该编码在中国理财网www.chinawealth.com.cn查询理财产品相关信息）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2023年08月23日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258,800,432.00份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西部信托有限公司,上海国际信托有限公司,中信信托有限责任公司,国联基金管理有限公司,百瑞信托有限责任公司,中国对外经济贸易信托有限公司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Y60036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79,383,390.55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1.0594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1.0594</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Y61036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103,887,781.42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1.0608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1.0608</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Y62036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91,289,213.00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1.0622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1.0622</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截至报告期末，本产品Y60036份额净值为1.0594元，Y61036份额净值为1.0608元，Y62036份额净值为1.0622元。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99,916,271.51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36.39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XTDKX202310240001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中信信托·兴邦55号固定收益类信托计划（第1期）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72,022,725.89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26.23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50,233,972.86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18.30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XTDKX202311010022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西部信托·瑞彭1号集合资金信托计划（B类）</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23,261,879.15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XTDKX202409120021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上海信托东亭产发信托贷款集合资金信托计划第2期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20,078,669.80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XTDKX202409180021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百瑞恒益1570号集合资金信托计划（南瑞1号）第2期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10,043,597.00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3.66</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徐州高新技术产业开发区国有资产经营有限公司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西部信托·瑞彭1号集合资金信托计划（B类）</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237</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泰州国控投资集团有限公司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中信信托·兴邦55号固定收益类信托计划（第1期）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247</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阜宁县城发控股集团有限公司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百瑞恒益1570号集合资金信托计划（南瑞1号）第2期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248</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盐城市东亭产业发展集团有限公司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上海信托东亭产发信托贷款集合资金信托计划第2期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244</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0101040000000667</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南京银行南京分行南银理财鑫逸稳两年36期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