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南银理财珠联璧合鑫逸稳一年170期（长三角绿色金融主题）封闭式公募人民币理财产品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南银理财珠联璧合鑫逸稳一年170期（长三角绿色金融主题）封闭式公募人民币理财产品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Z7003224000109（投资者可依据该编码在中国理财网www.chinawealth.com.cn查询理财产品相关信息）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2024年06月12日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760,739,258.00份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云南国际信托有限公司,华鑫国际信托有限公司,国投泰康信托有限公司,广东粤财信托有限公司,中国对外经济贸易信托有限公司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Y30170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335,037,915.04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Y31170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194,885,870.82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Y32170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192,555,698.17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Y33170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52,170,590.93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截至报告期末，本产品Y30170份额净值为1.0177元，Y31170份额净值为1.0183元，Y32170份额净值为1.0188元，Y33170份额净值为1.0194元。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221,031,832.63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XTDKX202406200021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云南信托-清泉113号集合资金信托计划第1期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203,200,000.00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156,401,050.12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93,518,000.00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XTDKX202407100022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83,373,319.89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114809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20鼎通G1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15,121,740.00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云南信托-清泉113号集合资金信托计划第1期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0101070000001038</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南京银行南京分行南银理财鑫逸稳一年170期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