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南银理财珠联璧合鑫逸稳一年159期封闭式公募人民币理财产品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1,326,404,013.00份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西部信托有限公司,中信信托有限责任公司,五矿国际信托有限公司,华鑫国际信托有限公司,广东粤财信托有限公司,紫金信托有限责任公司,江苏省国际信托有限责任公司,中国对外经济贸易信托有限公司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902,533,353.56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372,890,005.48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73,727,434.03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Y33159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12,018,918.32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截至报告期末，本产品Y30159份额净值为1.0258元，Y31159份额净值为1.0266元，Y32159份额净值为1.0274元，Y33159份额净值为1.0282元。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536,231,537.29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西部信托·瑞龙4号集合资金信托计划第1期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200,737,712.00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151,260,272.73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中信信托.兴邦73号固定收益类信托计划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150,480,478.50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150,460,999.50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华鑫信托·嘉盈和颜35号集合资金信托计划（第3期）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102,420,000.00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粤财信托·瑞兴108号集合资金信托计划第1期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50,182,911.00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15,196,394.91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6,003,823.34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绍兴袍江经济技术开发区投资发展集团有限公司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中信信托.兴邦73号固定收益类信托计划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华鑫信托·嘉盈和颜35号集合资金信托计划（第3期）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西部信托·瑞龙4号集合资金信托计划第1期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江苏句容投资集团有限公司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0101000000000947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