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B56" w:rsidRPr="00797EF1" w:rsidRDefault="000609F4" w:rsidP="00797EF1">
      <w:pPr>
        <w:pStyle w:val="1"/>
        <w:widowControl/>
        <w:shd w:val="clear" w:color="auto" w:fill="FFFFFF"/>
        <w:spacing w:beforeAutospacing="0" w:afterAutospacing="0" w:line="560" w:lineRule="exact"/>
        <w:jc w:val="center"/>
        <w:rPr>
          <w:rFonts w:ascii="Times New Roman" w:eastAsia="方正小标宋_GBK" w:hAnsi="Times New Roman" w:hint="default"/>
          <w:sz w:val="44"/>
          <w:szCs w:val="44"/>
        </w:rPr>
      </w:pPr>
      <w:r w:rsidRPr="00797EF1">
        <w:rPr>
          <w:rFonts w:ascii="Times New Roman" w:eastAsia="方正小标宋_GBK" w:hAnsi="Times New Roman" w:hint="default"/>
          <w:sz w:val="44"/>
          <w:szCs w:val="44"/>
        </w:rPr>
        <w:t>江苏</w:t>
      </w:r>
      <w:r w:rsidR="00383815" w:rsidRPr="00797EF1">
        <w:rPr>
          <w:rFonts w:ascii="Times New Roman" w:eastAsia="方正小标宋_GBK" w:hAnsi="Times New Roman" w:hint="default"/>
          <w:sz w:val="44"/>
          <w:szCs w:val="44"/>
        </w:rPr>
        <w:t>泰兴</w:t>
      </w:r>
      <w:r w:rsidRPr="00797EF1">
        <w:rPr>
          <w:rFonts w:ascii="Times New Roman" w:eastAsia="方正小标宋_GBK" w:hAnsi="Times New Roman" w:hint="default"/>
          <w:sz w:val="44"/>
          <w:szCs w:val="44"/>
        </w:rPr>
        <w:t>农村商业银行股份有限公司</w:t>
      </w:r>
    </w:p>
    <w:p w:rsidR="00956B56" w:rsidRPr="00367450" w:rsidRDefault="000609F4" w:rsidP="00367450">
      <w:pPr>
        <w:pStyle w:val="1"/>
        <w:widowControl/>
        <w:shd w:val="clear" w:color="auto" w:fill="FFFFFF"/>
        <w:spacing w:beforeAutospacing="0" w:afterAutospacing="0" w:line="560" w:lineRule="exact"/>
        <w:jc w:val="center"/>
        <w:rPr>
          <w:rFonts w:ascii="Times New Roman" w:eastAsia="方正小标宋_GBK" w:hAnsi="Times New Roman" w:hint="default"/>
          <w:sz w:val="44"/>
          <w:szCs w:val="44"/>
        </w:rPr>
      </w:pPr>
      <w:r w:rsidRPr="00797EF1">
        <w:rPr>
          <w:rFonts w:ascii="Times New Roman" w:eastAsia="方正小标宋_GBK" w:hAnsi="Times New Roman" w:hint="default"/>
          <w:sz w:val="44"/>
          <w:szCs w:val="44"/>
        </w:rPr>
        <w:t>202</w:t>
      </w:r>
      <w:r w:rsidR="00144C38">
        <w:rPr>
          <w:rFonts w:ascii="Times New Roman" w:eastAsia="方正小标宋_GBK" w:hAnsi="Times New Roman"/>
          <w:sz w:val="44"/>
          <w:szCs w:val="44"/>
        </w:rPr>
        <w:t>5</w:t>
      </w:r>
      <w:r w:rsidRPr="00797EF1">
        <w:rPr>
          <w:rFonts w:ascii="Times New Roman" w:eastAsia="方正小标宋_GBK" w:hAnsi="Times New Roman" w:hint="default"/>
          <w:sz w:val="44"/>
          <w:szCs w:val="44"/>
        </w:rPr>
        <w:t>年</w:t>
      </w:r>
      <w:r w:rsidR="00463F81" w:rsidRPr="00797EF1">
        <w:rPr>
          <w:rFonts w:ascii="Times New Roman" w:eastAsia="方正小标宋_GBK" w:hAnsi="Times New Roman" w:hint="default"/>
          <w:sz w:val="44"/>
          <w:szCs w:val="44"/>
        </w:rPr>
        <w:t>上半年</w:t>
      </w:r>
      <w:r w:rsidRPr="00797EF1">
        <w:rPr>
          <w:rFonts w:ascii="Times New Roman" w:eastAsia="方正小标宋_GBK" w:hAnsi="Times New Roman" w:hint="default"/>
          <w:sz w:val="44"/>
          <w:szCs w:val="44"/>
        </w:rPr>
        <w:t>第三支柱信息披露报告</w:t>
      </w:r>
    </w:p>
    <w:p w:rsidR="00956B56" w:rsidRPr="00797EF1" w:rsidRDefault="000609F4">
      <w:pPr>
        <w:pStyle w:val="a3"/>
        <w:widowControl/>
        <w:spacing w:beforeAutospacing="0" w:afterAutospacing="0" w:line="560" w:lineRule="exact"/>
        <w:ind w:firstLineChars="200" w:firstLine="640"/>
        <w:jc w:val="both"/>
        <w:rPr>
          <w:rFonts w:ascii="Times New Roman" w:eastAsia="仿宋_GB2312" w:hAnsi="Times New Roman"/>
          <w:sz w:val="32"/>
          <w:szCs w:val="32"/>
        </w:rPr>
      </w:pPr>
      <w:r w:rsidRPr="00797EF1">
        <w:rPr>
          <w:rFonts w:ascii="Times New Roman" w:eastAsia="仿宋_GB2312" w:hAnsi="Times New Roman"/>
          <w:sz w:val="32"/>
          <w:szCs w:val="32"/>
        </w:rPr>
        <w:t>根据</w:t>
      </w:r>
      <w:r w:rsidR="003D4B92" w:rsidRPr="00797EF1">
        <w:rPr>
          <w:rFonts w:ascii="Times New Roman" w:eastAsia="仿宋_GB2312" w:hAnsi="Times New Roman"/>
          <w:sz w:val="32"/>
          <w:szCs w:val="32"/>
        </w:rPr>
        <w:t>国家金融监督管理总局发布的</w:t>
      </w:r>
      <w:r w:rsidRPr="00797EF1">
        <w:rPr>
          <w:rFonts w:ascii="Times New Roman" w:eastAsia="仿宋_GB2312" w:hAnsi="Times New Roman"/>
          <w:sz w:val="32"/>
          <w:szCs w:val="32"/>
        </w:rPr>
        <w:t>《商业银行资本管理办法》</w:t>
      </w:r>
      <w:r w:rsidR="003D4B92" w:rsidRPr="00797EF1">
        <w:rPr>
          <w:rFonts w:ascii="Times New Roman" w:eastAsia="仿宋_GB2312" w:hAnsi="Times New Roman"/>
          <w:sz w:val="32"/>
          <w:szCs w:val="32"/>
        </w:rPr>
        <w:t>（国家金融监督管理总局令</w:t>
      </w:r>
      <w:r w:rsidR="003D4B92" w:rsidRPr="00797EF1">
        <w:rPr>
          <w:rFonts w:ascii="Times New Roman" w:eastAsia="仿宋_GB2312" w:hAnsi="Times New Roman"/>
          <w:sz w:val="32"/>
          <w:szCs w:val="32"/>
        </w:rPr>
        <w:t>2023</w:t>
      </w:r>
      <w:r w:rsidR="003D4B92" w:rsidRPr="00797EF1">
        <w:rPr>
          <w:rFonts w:ascii="Times New Roman" w:eastAsia="仿宋_GB2312" w:hAnsi="Times New Roman"/>
          <w:sz w:val="32"/>
          <w:szCs w:val="32"/>
        </w:rPr>
        <w:t>年第</w:t>
      </w:r>
      <w:r w:rsidR="003D4B92" w:rsidRPr="00797EF1">
        <w:rPr>
          <w:rFonts w:ascii="Times New Roman" w:eastAsia="仿宋_GB2312" w:hAnsi="Times New Roman"/>
          <w:sz w:val="32"/>
          <w:szCs w:val="32"/>
        </w:rPr>
        <w:t>4</w:t>
      </w:r>
      <w:r w:rsidR="003D4B92" w:rsidRPr="00797EF1">
        <w:rPr>
          <w:rFonts w:ascii="Times New Roman" w:eastAsia="仿宋_GB2312" w:hAnsi="Times New Roman"/>
          <w:sz w:val="32"/>
          <w:szCs w:val="32"/>
        </w:rPr>
        <w:t>号）</w:t>
      </w:r>
      <w:r w:rsidRPr="00797EF1">
        <w:rPr>
          <w:rFonts w:ascii="Times New Roman" w:eastAsia="仿宋_GB2312" w:hAnsi="Times New Roman"/>
          <w:sz w:val="32"/>
          <w:szCs w:val="32"/>
        </w:rPr>
        <w:t>附件</w:t>
      </w:r>
      <w:r w:rsidRPr="00797EF1">
        <w:rPr>
          <w:rFonts w:ascii="Times New Roman" w:eastAsia="仿宋_GB2312" w:hAnsi="Times New Roman"/>
          <w:sz w:val="32"/>
          <w:szCs w:val="32"/>
        </w:rPr>
        <w:t>22</w:t>
      </w:r>
      <w:r w:rsidRPr="00797EF1">
        <w:rPr>
          <w:rFonts w:ascii="Times New Roman" w:eastAsia="仿宋_GB2312" w:hAnsi="Times New Roman"/>
          <w:sz w:val="32"/>
          <w:szCs w:val="32"/>
        </w:rPr>
        <w:t>《商业银行信息披露内容和要求》</w:t>
      </w:r>
      <w:r w:rsidR="003D4B92" w:rsidRPr="00797EF1">
        <w:rPr>
          <w:rFonts w:ascii="Times New Roman" w:eastAsia="仿宋_GB2312" w:hAnsi="Times New Roman"/>
          <w:sz w:val="32"/>
          <w:szCs w:val="32"/>
        </w:rPr>
        <w:t>的规定</w:t>
      </w:r>
      <w:r w:rsidRPr="00797EF1">
        <w:rPr>
          <w:rFonts w:ascii="Times New Roman" w:eastAsia="仿宋_GB2312" w:hAnsi="Times New Roman"/>
          <w:sz w:val="32"/>
          <w:szCs w:val="32"/>
        </w:rPr>
        <w:t>，本行</w:t>
      </w:r>
      <w:r w:rsidR="003D4B92" w:rsidRPr="00797EF1">
        <w:rPr>
          <w:rFonts w:ascii="Times New Roman" w:eastAsia="仿宋_GB2312" w:hAnsi="Times New Roman"/>
          <w:sz w:val="32"/>
          <w:szCs w:val="32"/>
        </w:rPr>
        <w:t>为非国内系统重要</w:t>
      </w:r>
      <w:r w:rsidR="00FA181F" w:rsidRPr="00797EF1">
        <w:rPr>
          <w:rFonts w:ascii="Times New Roman" w:eastAsia="仿宋_GB2312" w:hAnsi="Times New Roman"/>
          <w:sz w:val="32"/>
          <w:szCs w:val="32"/>
        </w:rPr>
        <w:t>性</w:t>
      </w:r>
      <w:r w:rsidR="003D4B92" w:rsidRPr="00797EF1">
        <w:rPr>
          <w:rFonts w:ascii="Times New Roman" w:eastAsia="仿宋_GB2312" w:hAnsi="Times New Roman"/>
          <w:sz w:val="32"/>
          <w:szCs w:val="32"/>
        </w:rPr>
        <w:t>银行，划分标准适用于二档商业银行，应</w:t>
      </w:r>
      <w:r w:rsidRPr="00797EF1">
        <w:rPr>
          <w:rFonts w:ascii="Times New Roman" w:eastAsia="仿宋_GB2312" w:hAnsi="Times New Roman"/>
          <w:sz w:val="32"/>
          <w:szCs w:val="32"/>
        </w:rPr>
        <w:t>向投资者和社会公众披露本行资本充足率相关信息。本报告披露的报表经本行高级管理层确认。</w:t>
      </w:r>
    </w:p>
    <w:p w:rsidR="00956B56" w:rsidRPr="00797EF1" w:rsidRDefault="00463F81" w:rsidP="00367450">
      <w:pPr>
        <w:pStyle w:val="a3"/>
        <w:widowControl/>
        <w:spacing w:beforeAutospacing="0" w:afterAutospacing="0" w:line="560" w:lineRule="exact"/>
        <w:ind w:firstLineChars="200" w:firstLine="640"/>
        <w:jc w:val="both"/>
        <w:rPr>
          <w:rFonts w:ascii="Times New Roman" w:eastAsia="仿宋_GB2312" w:hAnsi="Times New Roman"/>
          <w:sz w:val="32"/>
          <w:szCs w:val="32"/>
        </w:rPr>
      </w:pPr>
      <w:r w:rsidRPr="00797EF1">
        <w:rPr>
          <w:rFonts w:ascii="Times New Roman" w:eastAsia="仿宋_GB2312" w:hAnsi="Times New Roman"/>
          <w:sz w:val="32"/>
          <w:szCs w:val="32"/>
        </w:rPr>
        <w:t>上半年</w:t>
      </w:r>
      <w:r w:rsidR="000609F4" w:rsidRPr="00797EF1">
        <w:rPr>
          <w:rFonts w:ascii="Times New Roman" w:eastAsia="仿宋_GB2312" w:hAnsi="Times New Roman"/>
          <w:sz w:val="32"/>
          <w:szCs w:val="32"/>
        </w:rPr>
        <w:t>本行需披露的报表</w:t>
      </w:r>
      <w:r w:rsidR="003D4B92" w:rsidRPr="00797EF1">
        <w:rPr>
          <w:rFonts w:ascii="Times New Roman" w:eastAsia="仿宋_GB2312" w:hAnsi="Times New Roman"/>
          <w:sz w:val="32"/>
          <w:szCs w:val="32"/>
        </w:rPr>
        <w:t>为</w:t>
      </w:r>
      <w:r w:rsidR="00797EF1" w:rsidRPr="00797EF1">
        <w:rPr>
          <w:rFonts w:ascii="Times New Roman" w:eastAsia="仿宋_GB2312" w:hAnsi="Times New Roman"/>
          <w:sz w:val="32"/>
          <w:szCs w:val="32"/>
        </w:rPr>
        <w:t>KM1</w:t>
      </w:r>
      <w:r w:rsidR="003D4B92" w:rsidRPr="00797EF1">
        <w:rPr>
          <w:rFonts w:ascii="Times New Roman" w:eastAsia="仿宋_GB2312" w:hAnsi="Times New Roman"/>
          <w:sz w:val="32"/>
          <w:szCs w:val="32"/>
        </w:rPr>
        <w:t>监管并表关键审慎监管指标及</w:t>
      </w:r>
      <w:r w:rsidR="00797EF1" w:rsidRPr="00797EF1">
        <w:rPr>
          <w:rFonts w:ascii="Times New Roman" w:eastAsia="仿宋_GB2312" w:hAnsi="Times New Roman"/>
          <w:sz w:val="32"/>
          <w:szCs w:val="32"/>
        </w:rPr>
        <w:t>CC1</w:t>
      </w:r>
      <w:r w:rsidR="003D4B92" w:rsidRPr="00797EF1">
        <w:rPr>
          <w:rFonts w:ascii="Times New Roman" w:eastAsia="仿宋_GB2312" w:hAnsi="Times New Roman"/>
          <w:sz w:val="32"/>
          <w:szCs w:val="32"/>
        </w:rPr>
        <w:t>资本构成，具体</w:t>
      </w:r>
      <w:r w:rsidR="000609F4" w:rsidRPr="00797EF1">
        <w:rPr>
          <w:rFonts w:ascii="Times New Roman" w:eastAsia="仿宋_GB2312" w:hAnsi="Times New Roman"/>
          <w:sz w:val="32"/>
          <w:szCs w:val="32"/>
        </w:rPr>
        <w:t>如下</w:t>
      </w:r>
      <w:r w:rsidR="000609F4" w:rsidRPr="00797EF1">
        <w:rPr>
          <w:rFonts w:ascii="Times New Roman" w:eastAsia="仿宋_GB2312" w:hAnsi="Times New Roman"/>
          <w:sz w:val="32"/>
          <w:szCs w:val="32"/>
        </w:rPr>
        <w:t>:</w:t>
      </w:r>
    </w:p>
    <w:p w:rsidR="00956B56" w:rsidRPr="00797EF1" w:rsidRDefault="000609F4">
      <w:pPr>
        <w:snapToGrid w:val="0"/>
        <w:spacing w:line="480" w:lineRule="exact"/>
        <w:outlineLvl w:val="1"/>
        <w:rPr>
          <w:rFonts w:ascii="Times New Roman" w:eastAsia="仿宋_GB2312" w:hAnsi="Times New Roman" w:cs="Times New Roman"/>
          <w:color w:val="000000" w:themeColor="text1"/>
          <w:sz w:val="32"/>
          <w:szCs w:val="32"/>
        </w:rPr>
      </w:pPr>
      <w:r w:rsidRPr="00797EF1">
        <w:rPr>
          <w:rFonts w:ascii="Times New Roman" w:eastAsia="仿宋_GB2312" w:hAnsi="Times New Roman" w:cs="Times New Roman"/>
          <w:color w:val="000000" w:themeColor="text1"/>
          <w:sz w:val="32"/>
          <w:szCs w:val="32"/>
        </w:rPr>
        <w:t>KM1</w:t>
      </w:r>
      <w:r w:rsidRPr="00797EF1">
        <w:rPr>
          <w:rFonts w:ascii="Times New Roman" w:eastAsia="仿宋_GB2312" w:hAnsi="仿宋_GB2312" w:cs="Times New Roman"/>
          <w:color w:val="000000" w:themeColor="text1"/>
          <w:sz w:val="32"/>
          <w:szCs w:val="32"/>
        </w:rPr>
        <w:t>：监管并表关键审慎监管指标</w:t>
      </w:r>
    </w:p>
    <w:p w:rsidR="00956B56" w:rsidRPr="00797EF1" w:rsidRDefault="000609F4" w:rsidP="003D4B92">
      <w:pPr>
        <w:snapToGrid w:val="0"/>
        <w:spacing w:line="480" w:lineRule="exact"/>
        <w:jc w:val="right"/>
        <w:outlineLvl w:val="1"/>
        <w:rPr>
          <w:rFonts w:ascii="Times New Roman" w:eastAsia="仿宋_GB2312" w:hAnsi="Times New Roman" w:cs="Times New Roman"/>
          <w:color w:val="000000" w:themeColor="text1"/>
          <w:sz w:val="32"/>
          <w:szCs w:val="32"/>
        </w:rPr>
      </w:pPr>
      <w:r w:rsidRPr="00797EF1">
        <w:rPr>
          <w:rFonts w:ascii="Times New Roman" w:eastAsia="仿宋_GB2312" w:hAnsi="仿宋_GB2312" w:cs="Times New Roman"/>
          <w:color w:val="000000" w:themeColor="text1"/>
          <w:sz w:val="32"/>
          <w:szCs w:val="32"/>
        </w:rPr>
        <w:t>单位：人民币万元，</w:t>
      </w:r>
      <w:r w:rsidRPr="00797EF1">
        <w:rPr>
          <w:rFonts w:ascii="Times New Roman" w:eastAsia="仿宋_GB2312" w:hAnsi="Times New Roman" w:cs="Times New Roman"/>
          <w:color w:val="000000" w:themeColor="text1"/>
          <w:sz w:val="32"/>
          <w:szCs w:val="32"/>
        </w:rPr>
        <w:t>%</w:t>
      </w:r>
    </w:p>
    <w:tbl>
      <w:tblPr>
        <w:tblW w:w="9645" w:type="dxa"/>
        <w:tblInd w:w="93" w:type="dxa"/>
        <w:tblLook w:val="04A0"/>
      </w:tblPr>
      <w:tblGrid>
        <w:gridCol w:w="1080"/>
        <w:gridCol w:w="1605"/>
        <w:gridCol w:w="1740"/>
        <w:gridCol w:w="1740"/>
        <w:gridCol w:w="1740"/>
        <w:gridCol w:w="1740"/>
      </w:tblGrid>
      <w:tr w:rsidR="00112EE8" w:rsidRPr="00112EE8" w:rsidTr="00112EE8">
        <w:trPr>
          <w:trHeight w:val="330"/>
        </w:trPr>
        <w:tc>
          <w:tcPr>
            <w:tcW w:w="2685" w:type="dxa"/>
            <w:gridSpan w:val="2"/>
            <w:tcBorders>
              <w:top w:val="single" w:sz="8" w:space="0" w:color="000000"/>
              <w:left w:val="single" w:sz="8" w:space="0" w:color="000000"/>
              <w:bottom w:val="nil"/>
              <w:right w:val="single" w:sz="8" w:space="0" w:color="000000"/>
            </w:tcBorders>
            <w:shd w:val="clear" w:color="auto" w:fill="auto"/>
            <w:hideMark/>
          </w:tcPr>
          <w:p w:rsidR="00112EE8" w:rsidRPr="00112EE8" w:rsidRDefault="00112EE8" w:rsidP="00112EE8">
            <w:pPr>
              <w:widowControl/>
              <w:jc w:val="left"/>
              <w:rPr>
                <w:rFonts w:ascii="Calibri" w:eastAsia="宋体" w:hAnsi="Calibri" w:cs="宋体"/>
                <w:color w:val="000000"/>
                <w:kern w:val="0"/>
                <w:szCs w:val="21"/>
              </w:rPr>
            </w:pPr>
          </w:p>
        </w:tc>
        <w:tc>
          <w:tcPr>
            <w:tcW w:w="1740" w:type="dxa"/>
            <w:tcBorders>
              <w:top w:val="single" w:sz="8" w:space="0" w:color="000000"/>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a</w:t>
            </w:r>
          </w:p>
        </w:tc>
        <w:tc>
          <w:tcPr>
            <w:tcW w:w="1740" w:type="dxa"/>
            <w:tcBorders>
              <w:top w:val="single" w:sz="8" w:space="0" w:color="000000"/>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b</w:t>
            </w:r>
          </w:p>
        </w:tc>
        <w:tc>
          <w:tcPr>
            <w:tcW w:w="1740" w:type="dxa"/>
            <w:tcBorders>
              <w:top w:val="single" w:sz="8" w:space="0" w:color="000000"/>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c</w:t>
            </w:r>
          </w:p>
        </w:tc>
        <w:tc>
          <w:tcPr>
            <w:tcW w:w="1740" w:type="dxa"/>
            <w:tcBorders>
              <w:top w:val="single" w:sz="8" w:space="0" w:color="000000"/>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d</w:t>
            </w:r>
          </w:p>
        </w:tc>
      </w:tr>
      <w:tr w:rsidR="00112EE8" w:rsidRPr="00112EE8" w:rsidTr="00112EE8">
        <w:trPr>
          <w:trHeight w:val="330"/>
        </w:trPr>
        <w:tc>
          <w:tcPr>
            <w:tcW w:w="2685" w:type="dxa"/>
            <w:gridSpan w:val="2"/>
            <w:tcBorders>
              <w:top w:val="nil"/>
              <w:left w:val="single" w:sz="8" w:space="0" w:color="000000"/>
              <w:bottom w:val="single" w:sz="8" w:space="0" w:color="000000"/>
              <w:right w:val="single" w:sz="8" w:space="0" w:color="000000"/>
            </w:tcBorders>
            <w:shd w:val="clear" w:color="auto" w:fill="auto"/>
            <w:hideMark/>
          </w:tcPr>
          <w:p w:rsidR="00112EE8" w:rsidRPr="00112EE8" w:rsidRDefault="00112EE8" w:rsidP="00112EE8">
            <w:pPr>
              <w:widowControl/>
              <w:jc w:val="left"/>
              <w:rPr>
                <w:rFonts w:ascii="Calibri" w:eastAsia="宋体" w:hAnsi="Calibri" w:cs="宋体"/>
                <w:color w:val="000000"/>
                <w:kern w:val="0"/>
                <w:szCs w:val="21"/>
              </w:rPr>
            </w:pP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2025</w:t>
            </w:r>
            <w:r w:rsidRPr="00112EE8">
              <w:rPr>
                <w:rFonts w:ascii="Times New Roman" w:eastAsia="宋体" w:hAnsi="Times New Roman" w:cs="Times New Roman"/>
                <w:color w:val="000000"/>
                <w:kern w:val="0"/>
                <w:sz w:val="24"/>
              </w:rPr>
              <w:t>年</w:t>
            </w:r>
            <w:r w:rsidRPr="00112EE8">
              <w:rPr>
                <w:rFonts w:ascii="Times New Roman" w:eastAsia="宋体" w:hAnsi="Times New Roman" w:cs="Times New Roman"/>
                <w:color w:val="000000"/>
                <w:kern w:val="0"/>
                <w:sz w:val="24"/>
              </w:rPr>
              <w:t>6</w:t>
            </w:r>
            <w:r w:rsidRPr="00112EE8">
              <w:rPr>
                <w:rFonts w:ascii="Times New Roman" w:eastAsia="宋体" w:hAnsi="Times New Roman" w:cs="Times New Roman"/>
                <w:color w:val="000000"/>
                <w:kern w:val="0"/>
                <w:sz w:val="24"/>
              </w:rPr>
              <w:t>月</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2025</w:t>
            </w:r>
            <w:r w:rsidRPr="00112EE8">
              <w:rPr>
                <w:rFonts w:ascii="Times New Roman" w:eastAsia="宋体" w:hAnsi="Times New Roman" w:cs="Times New Roman"/>
                <w:color w:val="000000"/>
                <w:kern w:val="0"/>
                <w:sz w:val="24"/>
              </w:rPr>
              <w:t>年</w:t>
            </w:r>
            <w:r w:rsidRPr="00112EE8">
              <w:rPr>
                <w:rFonts w:ascii="Times New Roman" w:eastAsia="宋体" w:hAnsi="Times New Roman" w:cs="Times New Roman"/>
                <w:color w:val="000000"/>
                <w:kern w:val="0"/>
                <w:sz w:val="24"/>
              </w:rPr>
              <w:t>3</w:t>
            </w:r>
            <w:r w:rsidRPr="00112EE8">
              <w:rPr>
                <w:rFonts w:ascii="Times New Roman" w:eastAsia="宋体" w:hAnsi="Times New Roman" w:cs="Times New Roman"/>
                <w:color w:val="000000"/>
                <w:kern w:val="0"/>
                <w:sz w:val="24"/>
              </w:rPr>
              <w:t>月</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2024</w:t>
            </w:r>
            <w:r w:rsidRPr="00112EE8">
              <w:rPr>
                <w:rFonts w:ascii="Times New Roman" w:eastAsia="宋体" w:hAnsi="Times New Roman" w:cs="Times New Roman"/>
                <w:color w:val="000000"/>
                <w:kern w:val="0"/>
                <w:sz w:val="24"/>
              </w:rPr>
              <w:t>年</w:t>
            </w:r>
            <w:r w:rsidRPr="00112EE8">
              <w:rPr>
                <w:rFonts w:ascii="Times New Roman" w:eastAsia="宋体" w:hAnsi="Times New Roman" w:cs="Times New Roman"/>
                <w:color w:val="000000"/>
                <w:kern w:val="0"/>
                <w:sz w:val="24"/>
              </w:rPr>
              <w:t>12</w:t>
            </w:r>
            <w:r w:rsidRPr="00112EE8">
              <w:rPr>
                <w:rFonts w:ascii="Times New Roman" w:eastAsia="宋体" w:hAnsi="Times New Roman" w:cs="Times New Roman"/>
                <w:color w:val="000000"/>
                <w:kern w:val="0"/>
                <w:sz w:val="24"/>
              </w:rPr>
              <w:t>月</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2024</w:t>
            </w:r>
            <w:r w:rsidRPr="00112EE8">
              <w:rPr>
                <w:rFonts w:ascii="Times New Roman" w:eastAsia="宋体" w:hAnsi="Times New Roman" w:cs="Times New Roman"/>
                <w:color w:val="000000"/>
                <w:kern w:val="0"/>
                <w:sz w:val="24"/>
              </w:rPr>
              <w:t>年</w:t>
            </w:r>
            <w:r w:rsidRPr="00112EE8">
              <w:rPr>
                <w:rFonts w:ascii="Times New Roman" w:eastAsia="宋体" w:hAnsi="Times New Roman" w:cs="Times New Roman"/>
                <w:color w:val="000000"/>
                <w:kern w:val="0"/>
                <w:sz w:val="24"/>
              </w:rPr>
              <w:t>9</w:t>
            </w:r>
            <w:r w:rsidRPr="00112EE8">
              <w:rPr>
                <w:rFonts w:ascii="Times New Roman" w:eastAsia="宋体" w:hAnsi="Times New Roman" w:cs="Times New Roman"/>
                <w:color w:val="000000"/>
                <w:kern w:val="0"/>
                <w:sz w:val="24"/>
              </w:rPr>
              <w:t>月</w:t>
            </w:r>
          </w:p>
        </w:tc>
      </w:tr>
      <w:tr w:rsidR="00112EE8" w:rsidRPr="00112EE8" w:rsidTr="00112EE8">
        <w:trPr>
          <w:trHeight w:val="300"/>
        </w:trPr>
        <w:tc>
          <w:tcPr>
            <w:tcW w:w="6165" w:type="dxa"/>
            <w:gridSpan w:val="4"/>
            <w:tcBorders>
              <w:top w:val="nil"/>
              <w:left w:val="single" w:sz="8" w:space="0" w:color="000000"/>
              <w:bottom w:val="single" w:sz="8" w:space="0" w:color="000000"/>
              <w:right w:val="single" w:sz="8" w:space="0" w:color="000000"/>
            </w:tcBorders>
            <w:shd w:val="clear" w:color="auto" w:fill="D9D9D9"/>
            <w:hideMark/>
          </w:tcPr>
          <w:p w:rsidR="00112EE8" w:rsidRPr="00112EE8" w:rsidRDefault="00112EE8" w:rsidP="00112EE8">
            <w:pPr>
              <w:widowControl/>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可用资本（数额）</w:t>
            </w:r>
          </w:p>
        </w:tc>
        <w:tc>
          <w:tcPr>
            <w:tcW w:w="1740" w:type="dxa"/>
            <w:tcBorders>
              <w:top w:val="nil"/>
              <w:left w:val="nil"/>
              <w:bottom w:val="single" w:sz="8" w:space="0" w:color="000000"/>
              <w:right w:val="single" w:sz="8" w:space="0" w:color="000000"/>
            </w:tcBorders>
            <w:shd w:val="clear" w:color="auto" w:fill="D9D9D9"/>
            <w:hideMark/>
          </w:tcPr>
          <w:p w:rsidR="00112EE8" w:rsidRPr="00112EE8" w:rsidRDefault="00112EE8" w:rsidP="00112EE8">
            <w:pPr>
              <w:widowControl/>
              <w:jc w:val="left"/>
              <w:rPr>
                <w:rFonts w:ascii="Calibri" w:eastAsia="宋体" w:hAnsi="Calibri" w:cs="宋体"/>
                <w:color w:val="000000"/>
                <w:kern w:val="0"/>
                <w:szCs w:val="21"/>
              </w:rPr>
            </w:pPr>
          </w:p>
        </w:tc>
        <w:tc>
          <w:tcPr>
            <w:tcW w:w="1740" w:type="dxa"/>
            <w:tcBorders>
              <w:top w:val="nil"/>
              <w:left w:val="nil"/>
              <w:bottom w:val="single" w:sz="8" w:space="0" w:color="000000"/>
              <w:right w:val="single" w:sz="8" w:space="0" w:color="000000"/>
            </w:tcBorders>
            <w:shd w:val="clear" w:color="auto" w:fill="D9D9D9"/>
            <w:hideMark/>
          </w:tcPr>
          <w:p w:rsidR="00112EE8" w:rsidRPr="00112EE8" w:rsidRDefault="00112EE8" w:rsidP="00112EE8">
            <w:pPr>
              <w:widowControl/>
              <w:jc w:val="left"/>
              <w:rPr>
                <w:rFonts w:ascii="Calibri" w:eastAsia="宋体" w:hAnsi="Calibri" w:cs="宋体"/>
                <w:color w:val="000000"/>
                <w:kern w:val="0"/>
                <w:szCs w:val="21"/>
              </w:rPr>
            </w:pPr>
          </w:p>
        </w:tc>
      </w:tr>
      <w:tr w:rsidR="00112EE8" w:rsidRPr="00112EE8" w:rsidTr="00112EE8">
        <w:trPr>
          <w:trHeight w:val="58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核心一级资本净额</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434368.25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428723.53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397311.67</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413198.28</w:t>
            </w:r>
          </w:p>
        </w:tc>
      </w:tr>
      <w:tr w:rsidR="00112EE8" w:rsidRPr="00112EE8" w:rsidTr="00112EE8">
        <w:trPr>
          <w:trHeight w:val="33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一级资本净额</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434368.25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428723.53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397311.67</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413198.28</w:t>
            </w:r>
          </w:p>
        </w:tc>
      </w:tr>
      <w:tr w:rsidR="00112EE8" w:rsidRPr="00112EE8" w:rsidTr="00112EE8">
        <w:trPr>
          <w:trHeight w:val="33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3</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资本净额</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502025.22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496140.59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463368.1</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479018.01</w:t>
            </w:r>
          </w:p>
        </w:tc>
      </w:tr>
      <w:tr w:rsidR="00112EE8" w:rsidRPr="00112EE8" w:rsidTr="00112EE8">
        <w:trPr>
          <w:trHeight w:val="300"/>
        </w:trPr>
        <w:tc>
          <w:tcPr>
            <w:tcW w:w="9645" w:type="dxa"/>
            <w:gridSpan w:val="6"/>
            <w:tcBorders>
              <w:top w:val="nil"/>
              <w:left w:val="single" w:sz="8" w:space="0" w:color="000000"/>
              <w:bottom w:val="single" w:sz="8" w:space="0" w:color="000000"/>
              <w:right w:val="single" w:sz="8" w:space="0" w:color="000000"/>
            </w:tcBorders>
            <w:shd w:val="clear" w:color="auto" w:fill="D9D9D9"/>
            <w:hideMark/>
          </w:tcPr>
          <w:p w:rsidR="00112EE8" w:rsidRPr="00112EE8" w:rsidRDefault="00112EE8" w:rsidP="00112EE8">
            <w:pPr>
              <w:widowControl/>
              <w:jc w:val="left"/>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风险加权资产（数额）</w:t>
            </w:r>
          </w:p>
        </w:tc>
      </w:tr>
      <w:tr w:rsidR="00112EE8" w:rsidRPr="00112EE8" w:rsidTr="00112EE8">
        <w:trPr>
          <w:trHeight w:val="33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4</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风险加权资产</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3263724.01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3256754.63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3146149.57</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3116548.62</w:t>
            </w:r>
          </w:p>
        </w:tc>
      </w:tr>
      <w:tr w:rsidR="00112EE8" w:rsidRPr="00112EE8" w:rsidTr="00112EE8">
        <w:trPr>
          <w:trHeight w:val="300"/>
        </w:trPr>
        <w:tc>
          <w:tcPr>
            <w:tcW w:w="9645" w:type="dxa"/>
            <w:gridSpan w:val="6"/>
            <w:tcBorders>
              <w:top w:val="nil"/>
              <w:left w:val="single" w:sz="8" w:space="0" w:color="000000"/>
              <w:bottom w:val="single" w:sz="8" w:space="0" w:color="000000"/>
              <w:right w:val="single" w:sz="8" w:space="0" w:color="000000"/>
            </w:tcBorders>
            <w:shd w:val="clear" w:color="auto" w:fill="D9D9D9"/>
            <w:hideMark/>
          </w:tcPr>
          <w:p w:rsidR="00112EE8" w:rsidRPr="00112EE8" w:rsidRDefault="00112EE8" w:rsidP="00112EE8">
            <w:pPr>
              <w:widowControl/>
              <w:jc w:val="left"/>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资本充足率</w:t>
            </w: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5</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核心一级资本充足率（</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13.31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13.16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12.63</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13.26</w:t>
            </w: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6</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一级资本充足率（</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13.31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13.16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12.63</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13.26</w:t>
            </w: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资本充足率（</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15.38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15.23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14.73</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15.37</w:t>
            </w:r>
          </w:p>
        </w:tc>
      </w:tr>
      <w:tr w:rsidR="00112EE8" w:rsidRPr="00112EE8" w:rsidTr="00112EE8">
        <w:trPr>
          <w:trHeight w:val="300"/>
        </w:trPr>
        <w:tc>
          <w:tcPr>
            <w:tcW w:w="6165" w:type="dxa"/>
            <w:gridSpan w:val="4"/>
            <w:tcBorders>
              <w:top w:val="nil"/>
              <w:left w:val="single" w:sz="8" w:space="0" w:color="000000"/>
              <w:bottom w:val="single" w:sz="8" w:space="0" w:color="000000"/>
              <w:right w:val="single" w:sz="8" w:space="0" w:color="000000"/>
            </w:tcBorders>
            <w:shd w:val="clear" w:color="auto" w:fill="D9D9D9"/>
            <w:hideMark/>
          </w:tcPr>
          <w:p w:rsidR="00112EE8" w:rsidRPr="00112EE8" w:rsidRDefault="00112EE8" w:rsidP="00112EE8">
            <w:pPr>
              <w:widowControl/>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其他各级资本要求</w:t>
            </w:r>
          </w:p>
        </w:tc>
        <w:tc>
          <w:tcPr>
            <w:tcW w:w="1740" w:type="dxa"/>
            <w:tcBorders>
              <w:top w:val="nil"/>
              <w:left w:val="nil"/>
              <w:bottom w:val="single" w:sz="8" w:space="0" w:color="000000"/>
              <w:right w:val="single" w:sz="8" w:space="0" w:color="000000"/>
            </w:tcBorders>
            <w:shd w:val="clear" w:color="auto" w:fill="D9D9D9"/>
            <w:hideMark/>
          </w:tcPr>
          <w:p w:rsidR="00112EE8" w:rsidRPr="00112EE8" w:rsidRDefault="00112EE8" w:rsidP="00112EE8">
            <w:pPr>
              <w:widowControl/>
              <w:jc w:val="left"/>
              <w:rPr>
                <w:rFonts w:ascii="Calibri" w:eastAsia="宋体" w:hAnsi="Calibri" w:cs="宋体"/>
                <w:color w:val="000000"/>
                <w:kern w:val="0"/>
                <w:szCs w:val="21"/>
              </w:rPr>
            </w:pPr>
          </w:p>
        </w:tc>
        <w:tc>
          <w:tcPr>
            <w:tcW w:w="1740" w:type="dxa"/>
            <w:tcBorders>
              <w:top w:val="nil"/>
              <w:left w:val="nil"/>
              <w:bottom w:val="single" w:sz="8" w:space="0" w:color="000000"/>
              <w:right w:val="single" w:sz="8" w:space="0" w:color="000000"/>
            </w:tcBorders>
            <w:shd w:val="clear" w:color="auto" w:fill="D9D9D9"/>
            <w:hideMark/>
          </w:tcPr>
          <w:p w:rsidR="00112EE8" w:rsidRPr="00112EE8" w:rsidRDefault="00112EE8" w:rsidP="00112EE8">
            <w:pPr>
              <w:widowControl/>
              <w:jc w:val="left"/>
              <w:rPr>
                <w:rFonts w:ascii="Calibri" w:eastAsia="宋体" w:hAnsi="Calibri" w:cs="宋体"/>
                <w:color w:val="000000"/>
                <w:kern w:val="0"/>
                <w:szCs w:val="21"/>
              </w:rPr>
            </w:pP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8</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储备资本要求（</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lastRenderedPageBreak/>
              <w:t>9</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逆周期资本要求（</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0</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0</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0</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0</w:t>
            </w:r>
          </w:p>
        </w:tc>
      </w:tr>
      <w:tr w:rsidR="00112EE8" w:rsidRPr="00112EE8" w:rsidTr="00112EE8">
        <w:trPr>
          <w:trHeight w:val="147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10</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全球系统重要性银行或国内系统重要性银行附加资本要求（</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BEBEBE"/>
            <w:vAlign w:val="center"/>
            <w:hideMark/>
          </w:tcPr>
          <w:p w:rsidR="00112EE8" w:rsidRPr="00112EE8" w:rsidRDefault="00112EE8" w:rsidP="00112EE8">
            <w:pPr>
              <w:widowControl/>
              <w:jc w:val="left"/>
              <w:rPr>
                <w:rFonts w:ascii="Calibri" w:eastAsia="宋体" w:hAnsi="Calibri" w:cs="宋体"/>
                <w:color w:val="000000"/>
                <w:kern w:val="0"/>
                <w:szCs w:val="21"/>
              </w:rPr>
            </w:pPr>
          </w:p>
        </w:tc>
        <w:tc>
          <w:tcPr>
            <w:tcW w:w="1740" w:type="dxa"/>
            <w:tcBorders>
              <w:top w:val="nil"/>
              <w:left w:val="nil"/>
              <w:bottom w:val="single" w:sz="8" w:space="0" w:color="000000"/>
              <w:right w:val="single" w:sz="8" w:space="0" w:color="000000"/>
            </w:tcBorders>
            <w:shd w:val="clear" w:color="auto" w:fill="BEBEBE"/>
            <w:vAlign w:val="center"/>
            <w:hideMark/>
          </w:tcPr>
          <w:p w:rsidR="00112EE8" w:rsidRPr="00112EE8" w:rsidRDefault="00112EE8" w:rsidP="00112EE8">
            <w:pPr>
              <w:widowControl/>
              <w:jc w:val="left"/>
              <w:rPr>
                <w:rFonts w:ascii="Calibri" w:eastAsia="宋体" w:hAnsi="Calibri" w:cs="宋体"/>
                <w:color w:val="000000"/>
                <w:kern w:val="0"/>
                <w:szCs w:val="21"/>
              </w:rPr>
            </w:pPr>
          </w:p>
        </w:tc>
        <w:tc>
          <w:tcPr>
            <w:tcW w:w="1740" w:type="dxa"/>
            <w:tcBorders>
              <w:top w:val="nil"/>
              <w:left w:val="nil"/>
              <w:bottom w:val="single" w:sz="8" w:space="0" w:color="000000"/>
              <w:right w:val="single" w:sz="8" w:space="0" w:color="000000"/>
            </w:tcBorders>
            <w:shd w:val="clear" w:color="auto" w:fill="BEBEBE"/>
            <w:vAlign w:val="center"/>
            <w:hideMark/>
          </w:tcPr>
          <w:p w:rsidR="00112EE8" w:rsidRPr="00112EE8" w:rsidRDefault="00112EE8" w:rsidP="00112EE8">
            <w:pPr>
              <w:widowControl/>
              <w:jc w:val="left"/>
              <w:rPr>
                <w:rFonts w:ascii="Calibri" w:eastAsia="宋体" w:hAnsi="Calibri" w:cs="宋体"/>
                <w:color w:val="000000"/>
                <w:kern w:val="0"/>
                <w:szCs w:val="21"/>
              </w:rPr>
            </w:pPr>
          </w:p>
        </w:tc>
        <w:tc>
          <w:tcPr>
            <w:tcW w:w="1740" w:type="dxa"/>
            <w:tcBorders>
              <w:top w:val="nil"/>
              <w:left w:val="nil"/>
              <w:bottom w:val="single" w:sz="8" w:space="0" w:color="000000"/>
              <w:right w:val="single" w:sz="8" w:space="0" w:color="000000"/>
            </w:tcBorders>
            <w:shd w:val="clear" w:color="auto" w:fill="BEBEBE"/>
            <w:vAlign w:val="center"/>
            <w:hideMark/>
          </w:tcPr>
          <w:p w:rsidR="00112EE8" w:rsidRPr="00112EE8" w:rsidRDefault="00112EE8" w:rsidP="00112EE8">
            <w:pPr>
              <w:widowControl/>
              <w:jc w:val="left"/>
              <w:rPr>
                <w:rFonts w:ascii="Calibri" w:eastAsia="宋体" w:hAnsi="Calibri" w:cs="宋体"/>
                <w:color w:val="000000"/>
                <w:kern w:val="0"/>
                <w:szCs w:val="21"/>
              </w:rPr>
            </w:pPr>
          </w:p>
        </w:tc>
      </w:tr>
      <w:tr w:rsidR="00112EE8" w:rsidRPr="00112EE8" w:rsidTr="00112EE8">
        <w:trPr>
          <w:trHeight w:val="93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11</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其他各级资本要求（</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r w:rsidRPr="00112EE8">
              <w:rPr>
                <w:rFonts w:ascii="Times New Roman" w:eastAsia="仿宋_GB2312" w:hAnsi="Times New Roman" w:cs="Times New Roman"/>
                <w:color w:val="000000"/>
                <w:kern w:val="0"/>
                <w:sz w:val="24"/>
              </w:rPr>
              <w:t>8+9+10</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2.5</w:t>
            </w:r>
          </w:p>
        </w:tc>
      </w:tr>
      <w:tr w:rsidR="00112EE8" w:rsidRPr="00112EE8" w:rsidTr="00112EE8">
        <w:trPr>
          <w:trHeight w:val="175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12</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满足最低资本要求后的可用核心一级资本净额占风险加权资产的比例（</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7.31</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7.16</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6.63</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7.26</w:t>
            </w:r>
          </w:p>
        </w:tc>
      </w:tr>
      <w:tr w:rsidR="00112EE8" w:rsidRPr="00112EE8" w:rsidTr="00112EE8">
        <w:trPr>
          <w:trHeight w:val="300"/>
        </w:trPr>
        <w:tc>
          <w:tcPr>
            <w:tcW w:w="9645" w:type="dxa"/>
            <w:gridSpan w:val="6"/>
            <w:tcBorders>
              <w:top w:val="nil"/>
              <w:left w:val="single" w:sz="8" w:space="0" w:color="000000"/>
              <w:bottom w:val="single" w:sz="8" w:space="0" w:color="000000"/>
              <w:right w:val="single" w:sz="8" w:space="0" w:color="000000"/>
            </w:tcBorders>
            <w:shd w:val="clear" w:color="auto" w:fill="D9D9D9"/>
            <w:hideMark/>
          </w:tcPr>
          <w:p w:rsidR="00112EE8" w:rsidRPr="00112EE8" w:rsidRDefault="00112EE8" w:rsidP="00112EE8">
            <w:pPr>
              <w:widowControl/>
              <w:jc w:val="left"/>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杠杆率</w:t>
            </w:r>
          </w:p>
        </w:tc>
      </w:tr>
      <w:tr w:rsidR="00112EE8" w:rsidRPr="00112EE8" w:rsidTr="00112EE8">
        <w:trPr>
          <w:trHeight w:val="58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13</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调整后表内外资产余额</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5797812.87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5818066.44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5318840.36</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5344229.39</w:t>
            </w:r>
          </w:p>
        </w:tc>
      </w:tr>
      <w:tr w:rsidR="00112EE8" w:rsidRPr="00112EE8" w:rsidTr="00112EE8">
        <w:trPr>
          <w:trHeight w:val="33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14</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杠杆率（</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7.49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7.37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7.47</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7.73</w:t>
            </w:r>
          </w:p>
        </w:tc>
      </w:tr>
      <w:tr w:rsidR="00112EE8" w:rsidRPr="00112EE8" w:rsidTr="00112EE8">
        <w:trPr>
          <w:trHeight w:val="33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14a</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杠杆率</w:t>
            </w:r>
            <w:r w:rsidRPr="00112EE8">
              <w:rPr>
                <w:rFonts w:ascii="Times New Roman" w:eastAsia="仿宋_GB2312" w:hAnsi="Times New Roman" w:cs="Times New Roman"/>
                <w:color w:val="000000"/>
                <w:kern w:val="0"/>
                <w:sz w:val="24"/>
              </w:rPr>
              <w:t>a</w:t>
            </w:r>
            <w:r w:rsidRPr="00112EE8">
              <w:rPr>
                <w:rFonts w:ascii="仿宋_GB2312" w:eastAsia="仿宋_GB2312" w:hAnsi="宋体" w:cs="宋体"/>
                <w:color w:val="000000"/>
                <w:kern w:val="0"/>
                <w:sz w:val="24"/>
              </w:rPr>
              <w:t>（</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7.49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7.37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7.47</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7.73</w:t>
            </w:r>
          </w:p>
        </w:tc>
      </w:tr>
      <w:tr w:rsidR="00112EE8" w:rsidRPr="00112EE8" w:rsidTr="00112EE8">
        <w:trPr>
          <w:trHeight w:val="300"/>
        </w:trPr>
        <w:tc>
          <w:tcPr>
            <w:tcW w:w="9645" w:type="dxa"/>
            <w:gridSpan w:val="6"/>
            <w:tcBorders>
              <w:top w:val="nil"/>
              <w:left w:val="single" w:sz="8" w:space="0" w:color="000000"/>
              <w:bottom w:val="single" w:sz="8" w:space="0" w:color="000000"/>
              <w:right w:val="single" w:sz="8" w:space="0" w:color="000000"/>
            </w:tcBorders>
            <w:shd w:val="clear" w:color="auto" w:fill="D9D9D9"/>
            <w:hideMark/>
          </w:tcPr>
          <w:p w:rsidR="00112EE8" w:rsidRPr="00112EE8" w:rsidRDefault="00112EE8" w:rsidP="00112EE8">
            <w:pPr>
              <w:widowControl/>
              <w:jc w:val="left"/>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流动性覆盖率</w:t>
            </w:r>
          </w:p>
        </w:tc>
      </w:tr>
      <w:tr w:rsidR="00112EE8" w:rsidRPr="00112EE8" w:rsidTr="00112EE8">
        <w:trPr>
          <w:trHeight w:val="58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15</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合格优质流动性资产</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r>
      <w:tr w:rsidR="00112EE8" w:rsidRPr="00112EE8" w:rsidTr="00112EE8">
        <w:trPr>
          <w:trHeight w:val="330"/>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16</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现金净流出量</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17</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流动性覆盖率（</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r>
      <w:tr w:rsidR="00112EE8" w:rsidRPr="00112EE8" w:rsidTr="00112EE8">
        <w:trPr>
          <w:trHeight w:val="300"/>
        </w:trPr>
        <w:tc>
          <w:tcPr>
            <w:tcW w:w="9645" w:type="dxa"/>
            <w:gridSpan w:val="6"/>
            <w:tcBorders>
              <w:top w:val="nil"/>
              <w:left w:val="single" w:sz="8" w:space="0" w:color="000000"/>
              <w:bottom w:val="single" w:sz="8" w:space="0" w:color="000000"/>
              <w:right w:val="single" w:sz="8" w:space="0" w:color="000000"/>
            </w:tcBorders>
            <w:shd w:val="clear" w:color="auto" w:fill="D9D9D9"/>
            <w:hideMark/>
          </w:tcPr>
          <w:p w:rsidR="00112EE8" w:rsidRPr="00112EE8" w:rsidRDefault="00112EE8" w:rsidP="00112EE8">
            <w:pPr>
              <w:widowControl/>
              <w:jc w:val="left"/>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净稳定资金比例</w:t>
            </w:r>
          </w:p>
        </w:tc>
      </w:tr>
      <w:tr w:rsidR="00112EE8" w:rsidRPr="00112EE8" w:rsidTr="00112EE8">
        <w:trPr>
          <w:trHeight w:val="58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18</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可用稳定资金合计</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r>
      <w:tr w:rsidR="00112EE8" w:rsidRPr="00112EE8" w:rsidTr="00112EE8">
        <w:trPr>
          <w:trHeight w:val="58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19</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所需稳定资金合计</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20</w:t>
            </w:r>
          </w:p>
        </w:tc>
        <w:tc>
          <w:tcPr>
            <w:tcW w:w="1605"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净稳定资金比例（</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不适用</w:t>
            </w:r>
          </w:p>
        </w:tc>
      </w:tr>
      <w:tr w:rsidR="00112EE8" w:rsidRPr="00112EE8" w:rsidTr="00112EE8">
        <w:trPr>
          <w:trHeight w:val="300"/>
        </w:trPr>
        <w:tc>
          <w:tcPr>
            <w:tcW w:w="9645" w:type="dxa"/>
            <w:gridSpan w:val="6"/>
            <w:tcBorders>
              <w:top w:val="nil"/>
              <w:left w:val="single" w:sz="8" w:space="0" w:color="000000"/>
              <w:bottom w:val="single" w:sz="8" w:space="0" w:color="000000"/>
              <w:right w:val="single" w:sz="8" w:space="0" w:color="000000"/>
            </w:tcBorders>
            <w:shd w:val="clear" w:color="auto" w:fill="D8D8D8"/>
            <w:hideMark/>
          </w:tcPr>
          <w:p w:rsidR="00112EE8" w:rsidRPr="00112EE8" w:rsidRDefault="00112EE8" w:rsidP="00112EE8">
            <w:pPr>
              <w:widowControl/>
              <w:jc w:val="left"/>
              <w:rPr>
                <w:rFonts w:ascii="仿宋_GB2312" w:eastAsia="仿宋_GB2312" w:hAnsi="宋体" w:cs="宋体"/>
                <w:b/>
                <w:bCs/>
                <w:color w:val="000000"/>
                <w:kern w:val="0"/>
                <w:sz w:val="24"/>
              </w:rPr>
            </w:pPr>
            <w:r w:rsidRPr="00112EE8">
              <w:rPr>
                <w:rFonts w:ascii="仿宋_GB2312" w:eastAsia="仿宋_GB2312" w:hAnsi="宋体" w:cs="宋体" w:hint="eastAsia"/>
                <w:b/>
                <w:bCs/>
                <w:color w:val="000000"/>
                <w:kern w:val="0"/>
                <w:sz w:val="24"/>
              </w:rPr>
              <w:t>流动性比例</w:t>
            </w:r>
          </w:p>
        </w:tc>
      </w:tr>
      <w:tr w:rsidR="00112EE8" w:rsidRPr="00112EE8" w:rsidTr="00112EE8">
        <w:trPr>
          <w:trHeight w:val="615"/>
        </w:trPr>
        <w:tc>
          <w:tcPr>
            <w:tcW w:w="1080" w:type="dxa"/>
            <w:tcBorders>
              <w:top w:val="nil"/>
              <w:left w:val="single" w:sz="8" w:space="0" w:color="000000"/>
              <w:bottom w:val="single" w:sz="8" w:space="0" w:color="000000"/>
              <w:right w:val="single" w:sz="8" w:space="0" w:color="000000"/>
            </w:tcBorders>
            <w:shd w:val="clear" w:color="auto" w:fill="FFFFFF"/>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21</w:t>
            </w:r>
          </w:p>
        </w:tc>
        <w:tc>
          <w:tcPr>
            <w:tcW w:w="1605" w:type="dxa"/>
            <w:tcBorders>
              <w:top w:val="nil"/>
              <w:left w:val="nil"/>
              <w:bottom w:val="single" w:sz="8" w:space="0" w:color="000000"/>
              <w:right w:val="single" w:sz="8" w:space="0" w:color="000000"/>
            </w:tcBorders>
            <w:shd w:val="clear" w:color="auto" w:fill="FFFFFF"/>
            <w:vAlign w:val="center"/>
            <w:hideMark/>
          </w:tcPr>
          <w:p w:rsidR="00112EE8" w:rsidRPr="00112EE8" w:rsidRDefault="00112EE8" w:rsidP="00112EE8">
            <w:pPr>
              <w:widowControl/>
              <w:rPr>
                <w:rFonts w:ascii="仿宋_GB2312" w:eastAsia="仿宋_GB2312" w:hAnsi="宋体" w:cs="宋体"/>
                <w:color w:val="000000"/>
                <w:kern w:val="0"/>
                <w:sz w:val="24"/>
              </w:rPr>
            </w:pPr>
            <w:r w:rsidRPr="00112EE8">
              <w:rPr>
                <w:rFonts w:ascii="仿宋_GB2312" w:eastAsia="仿宋_GB2312" w:hAnsi="宋体" w:cs="宋体" w:hint="eastAsia"/>
                <w:color w:val="000000"/>
                <w:kern w:val="0"/>
                <w:sz w:val="24"/>
              </w:rPr>
              <w:t>流动性比例（</w:t>
            </w:r>
            <w:r w:rsidRPr="00112EE8">
              <w:rPr>
                <w:rFonts w:ascii="Times New Roman" w:eastAsia="仿宋_GB2312" w:hAnsi="Times New Roman" w:cs="Times New Roman"/>
                <w:color w:val="000000"/>
                <w:kern w:val="0"/>
                <w:sz w:val="24"/>
              </w:rPr>
              <w:t>%</w:t>
            </w:r>
            <w:r w:rsidRPr="00112EE8">
              <w:rPr>
                <w:rFonts w:ascii="仿宋_GB2312" w:eastAsia="仿宋_GB2312" w:hAnsi="宋体" w:cs="宋体"/>
                <w:color w:val="000000"/>
                <w:kern w:val="0"/>
                <w:sz w:val="24"/>
              </w:rPr>
              <w:t>）</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118.36 </w:t>
            </w:r>
          </w:p>
        </w:tc>
        <w:tc>
          <w:tcPr>
            <w:tcW w:w="1740" w:type="dxa"/>
            <w:tcBorders>
              <w:top w:val="nil"/>
              <w:left w:val="nil"/>
              <w:bottom w:val="single" w:sz="8" w:space="0" w:color="000000"/>
              <w:right w:val="single" w:sz="8" w:space="0" w:color="000000"/>
            </w:tcBorders>
            <w:shd w:val="clear" w:color="auto" w:fill="auto"/>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 xml:space="preserve">108.14 </w:t>
            </w:r>
          </w:p>
        </w:tc>
        <w:tc>
          <w:tcPr>
            <w:tcW w:w="1740" w:type="dxa"/>
            <w:tcBorders>
              <w:top w:val="nil"/>
              <w:left w:val="nil"/>
              <w:bottom w:val="single" w:sz="8" w:space="0" w:color="000000"/>
              <w:right w:val="single" w:sz="8" w:space="0" w:color="000000"/>
            </w:tcBorders>
            <w:shd w:val="clear" w:color="auto" w:fill="FFFFFF"/>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97.99</w:t>
            </w:r>
          </w:p>
        </w:tc>
        <w:tc>
          <w:tcPr>
            <w:tcW w:w="1740" w:type="dxa"/>
            <w:tcBorders>
              <w:top w:val="nil"/>
              <w:left w:val="nil"/>
              <w:bottom w:val="single" w:sz="8" w:space="0" w:color="000000"/>
              <w:right w:val="single" w:sz="8" w:space="0" w:color="000000"/>
            </w:tcBorders>
            <w:shd w:val="clear" w:color="auto" w:fill="FFFFFF"/>
            <w:vAlign w:val="center"/>
            <w:hideMark/>
          </w:tcPr>
          <w:p w:rsidR="00112EE8" w:rsidRPr="00112EE8" w:rsidRDefault="00112EE8" w:rsidP="00112EE8">
            <w:pPr>
              <w:widowControl/>
              <w:jc w:val="center"/>
              <w:rPr>
                <w:rFonts w:ascii="Times New Roman" w:eastAsia="宋体" w:hAnsi="Times New Roman" w:cs="Times New Roman"/>
                <w:color w:val="000000"/>
                <w:kern w:val="0"/>
                <w:sz w:val="24"/>
              </w:rPr>
            </w:pPr>
            <w:r w:rsidRPr="00112EE8">
              <w:rPr>
                <w:rFonts w:ascii="Times New Roman" w:eastAsia="宋体" w:hAnsi="Times New Roman" w:cs="Times New Roman"/>
                <w:color w:val="000000"/>
                <w:kern w:val="0"/>
                <w:sz w:val="24"/>
              </w:rPr>
              <w:t>95.56</w:t>
            </w:r>
          </w:p>
        </w:tc>
      </w:tr>
    </w:tbl>
    <w:p w:rsidR="00956B56" w:rsidRPr="00797EF1" w:rsidRDefault="00956B56">
      <w:pPr>
        <w:rPr>
          <w:rFonts w:ascii="Times New Roman" w:hAnsi="Times New Roman" w:cs="Times New Roman"/>
        </w:rPr>
      </w:pPr>
    </w:p>
    <w:p w:rsidR="00367450" w:rsidRDefault="00367450">
      <w:pPr>
        <w:snapToGrid w:val="0"/>
        <w:spacing w:line="480" w:lineRule="exact"/>
        <w:outlineLvl w:val="1"/>
        <w:rPr>
          <w:rFonts w:ascii="Times New Roman" w:eastAsia="仿宋_GB2312" w:hAnsi="仿宋_GB2312" w:cs="Times New Roman"/>
          <w:color w:val="000000" w:themeColor="text1"/>
          <w:sz w:val="32"/>
          <w:szCs w:val="32"/>
        </w:rPr>
      </w:pPr>
    </w:p>
    <w:p w:rsidR="00956B56" w:rsidRPr="00797EF1" w:rsidRDefault="000609F4">
      <w:pPr>
        <w:snapToGrid w:val="0"/>
        <w:spacing w:line="480" w:lineRule="exact"/>
        <w:outlineLvl w:val="1"/>
        <w:rPr>
          <w:rFonts w:ascii="Times New Roman" w:eastAsia="仿宋_GB2312" w:hAnsi="Times New Roman" w:cs="Times New Roman"/>
          <w:color w:val="000000" w:themeColor="text1"/>
          <w:sz w:val="32"/>
          <w:szCs w:val="32"/>
        </w:rPr>
      </w:pPr>
      <w:r w:rsidRPr="00797EF1">
        <w:rPr>
          <w:rFonts w:ascii="Times New Roman" w:eastAsia="仿宋_GB2312" w:hAnsi="仿宋_GB2312" w:cs="Times New Roman"/>
          <w:color w:val="000000" w:themeColor="text1"/>
          <w:sz w:val="32"/>
          <w:szCs w:val="32"/>
        </w:rPr>
        <w:lastRenderedPageBreak/>
        <w:t>表格</w:t>
      </w:r>
      <w:r w:rsidRPr="00797EF1">
        <w:rPr>
          <w:rFonts w:ascii="Times New Roman" w:eastAsia="仿宋_GB2312" w:hAnsi="Times New Roman" w:cs="Times New Roman"/>
          <w:color w:val="000000" w:themeColor="text1"/>
          <w:sz w:val="32"/>
          <w:szCs w:val="32"/>
        </w:rPr>
        <w:t>CC1</w:t>
      </w:r>
      <w:r w:rsidRPr="00797EF1">
        <w:rPr>
          <w:rFonts w:ascii="Times New Roman" w:eastAsia="仿宋_GB2312" w:hAnsi="仿宋_GB2312" w:cs="Times New Roman"/>
          <w:color w:val="000000" w:themeColor="text1"/>
          <w:sz w:val="32"/>
          <w:szCs w:val="32"/>
        </w:rPr>
        <w:t>：资本构成</w:t>
      </w:r>
    </w:p>
    <w:p w:rsidR="00956B56" w:rsidRPr="00797EF1" w:rsidRDefault="000609F4">
      <w:pPr>
        <w:snapToGrid w:val="0"/>
        <w:spacing w:line="480" w:lineRule="exact"/>
        <w:jc w:val="right"/>
        <w:outlineLvl w:val="1"/>
        <w:rPr>
          <w:rFonts w:ascii="Times New Roman" w:eastAsia="仿宋_GB2312" w:hAnsi="Times New Roman" w:cs="Times New Roman"/>
          <w:color w:val="000000" w:themeColor="text1"/>
          <w:sz w:val="32"/>
          <w:szCs w:val="32"/>
        </w:rPr>
      </w:pPr>
      <w:r w:rsidRPr="00797EF1">
        <w:rPr>
          <w:rFonts w:ascii="Times New Roman" w:eastAsia="仿宋_GB2312" w:hAnsi="仿宋_GB2312" w:cs="Times New Roman"/>
          <w:color w:val="000000" w:themeColor="text1"/>
          <w:sz w:val="32"/>
          <w:szCs w:val="32"/>
        </w:rPr>
        <w:t>单位：人民币万元，</w:t>
      </w:r>
      <w:r w:rsidRPr="00797EF1">
        <w:rPr>
          <w:rFonts w:ascii="Times New Roman" w:eastAsia="仿宋_GB2312" w:hAnsi="Times New Roman" w:cs="Times New Roman"/>
          <w:color w:val="000000" w:themeColor="text1"/>
          <w:sz w:val="32"/>
          <w:szCs w:val="32"/>
        </w:rPr>
        <w:t>%</w:t>
      </w:r>
    </w:p>
    <w:tbl>
      <w:tblPr>
        <w:tblW w:w="8310" w:type="dxa"/>
        <w:tblInd w:w="93" w:type="dxa"/>
        <w:tblLook w:val="04A0"/>
      </w:tblPr>
      <w:tblGrid>
        <w:gridCol w:w="630"/>
        <w:gridCol w:w="3810"/>
        <w:gridCol w:w="1935"/>
        <w:gridCol w:w="1935"/>
      </w:tblGrid>
      <w:tr w:rsidR="006D6B9C" w:rsidRPr="00112EE8" w:rsidTr="00112EE8">
        <w:trPr>
          <w:trHeight w:val="300"/>
        </w:trPr>
        <w:tc>
          <w:tcPr>
            <w:tcW w:w="4440" w:type="dxa"/>
            <w:gridSpan w:val="2"/>
            <w:vMerge w:val="restart"/>
            <w:tcBorders>
              <w:top w:val="single" w:sz="8" w:space="0" w:color="000000"/>
              <w:left w:val="nil"/>
              <w:bottom w:val="single" w:sz="8" w:space="0" w:color="000000"/>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a</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b</w:t>
            </w:r>
          </w:p>
        </w:tc>
      </w:tr>
      <w:tr w:rsidR="006D6B9C" w:rsidRPr="00112EE8" w:rsidTr="00112EE8">
        <w:trPr>
          <w:trHeight w:val="300"/>
        </w:trPr>
        <w:tc>
          <w:tcPr>
            <w:tcW w:w="4440" w:type="dxa"/>
            <w:gridSpan w:val="2"/>
            <w:vMerge/>
            <w:tcBorders>
              <w:top w:val="single" w:sz="8" w:space="0" w:color="000000"/>
              <w:left w:val="nil"/>
              <w:bottom w:val="single" w:sz="8" w:space="0" w:color="000000"/>
              <w:right w:val="single" w:sz="4" w:space="0" w:color="auto"/>
            </w:tcBorders>
            <w:vAlign w:val="center"/>
            <w:hideMark/>
          </w:tcPr>
          <w:p w:rsidR="006D6B9C" w:rsidRPr="00112EE8" w:rsidRDefault="006D6B9C">
            <w:pPr>
              <w:rPr>
                <w:rFonts w:ascii="Times New Roman" w:eastAsia="仿宋_GB2312" w:hAnsi="Times New Roman" w:cs="Times New Roman"/>
                <w:color w:val="000000"/>
                <w:szCs w:val="21"/>
              </w:rPr>
            </w:pP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数额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代码</w:t>
            </w: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核心一级资本</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实收资本和资本公积可计入部分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65494.60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e+g</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留存收益</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386969.30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2a</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盈余公积</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99193.02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h</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2b</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一般风险准备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173875.36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i</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2c</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未分配利润</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113900.92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j</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累计其他综合收益</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-79.11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少数股东资本可计入部分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扣除前的核心一级资本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452384.79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核心一级资本：扣除项</w:t>
            </w:r>
            <w:r w:rsidRPr="00112EE8">
              <w:rPr>
                <w:rStyle w:val="font41"/>
                <w:rFonts w:ascii="Times New Roman" w:hAnsi="Times New Roman" w:cs="Times New Roman" w:hint="default"/>
                <w:sz w:val="21"/>
                <w:szCs w:val="21"/>
              </w:rPr>
              <w:t xml:space="preserve">　</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审慎估值调整</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7</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商誉（扣除递延税负债）</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a-c</w:t>
            </w: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8</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其他无形资产（土地使用权除外）（扣除递延税负债）</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489.25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b-d</w:t>
            </w: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9</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依赖未来盈利的由经营亏损引起的净递延税资产</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10</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对未按公允价值计量的项目进行套期形成的现金流储备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11</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损失准备缺口</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12</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资产证券化销售利得</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13</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自身信用风险变化导致其负债公允价值变化带来的未实现损益</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14</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确定受益类的养老金资产净额（扣除递延税负债）</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15</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直接或间接持有本银行的股票</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16</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银行间或银行与其他金融机构间通过协议相互持有的核心一级资本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17</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对未并表金融机构小额少数资本投资中的核心一级资本中应扣除金额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18</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对未并表金融机构大额少数资本投资中的核心一级资本中应扣除金额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19</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其他依赖于银行未来盈利的净递延税资产中应扣除金额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17527.29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144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20</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对未并表金融机构大额少数资本投资中的核心一级资本和其他依赖于银行未来盈利的净递延税资产的未扣除部分超过核心一级资本</w:t>
            </w:r>
            <w:r w:rsidRPr="00112EE8">
              <w:rPr>
                <w:rStyle w:val="font41"/>
                <w:rFonts w:ascii="Times New Roman" w:hAnsi="Times New Roman" w:cs="Times New Roman" w:hint="default"/>
                <w:sz w:val="21"/>
                <w:szCs w:val="21"/>
              </w:rPr>
              <w:t>15%</w:t>
            </w:r>
            <w:r w:rsidRPr="00112EE8">
              <w:rPr>
                <w:rStyle w:val="font41"/>
                <w:rFonts w:ascii="Times New Roman" w:hAnsi="Times New Roman" w:cs="Times New Roman" w:hint="default"/>
                <w:sz w:val="21"/>
                <w:szCs w:val="21"/>
              </w:rPr>
              <w:t>的应扣除金额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lastRenderedPageBreak/>
              <w:t>21</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    </w:t>
            </w:r>
            <w:r w:rsidRPr="00112EE8">
              <w:rPr>
                <w:rStyle w:val="font41"/>
                <w:rFonts w:ascii="Times New Roman" w:hAnsi="Times New Roman" w:cs="Times New Roman" w:hint="default"/>
                <w:sz w:val="21"/>
                <w:szCs w:val="21"/>
              </w:rPr>
              <w:t>其中：应在对金融机构大额少数资本投资中扣除的金额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87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22</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    </w:t>
            </w:r>
            <w:r w:rsidRPr="00112EE8">
              <w:rPr>
                <w:rStyle w:val="font41"/>
                <w:rFonts w:ascii="Times New Roman" w:hAnsi="Times New Roman" w:cs="Times New Roman" w:hint="default"/>
                <w:sz w:val="21"/>
                <w:szCs w:val="21"/>
              </w:rPr>
              <w:t>其中：应在其他依赖于银行未来盈利的净递延税资产中扣除的金额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23</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其他应在核心一级资本中扣除的项目合计</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24</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应从其他一级资本和二级资本中扣除的未扣缺口</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25</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核心一级资本扣除项总和</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18016.54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26</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核心一级资本净额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434368.25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其他一级资本</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27</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其他一级资本工具及其溢价</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28</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    </w:t>
            </w:r>
            <w:r w:rsidRPr="00112EE8">
              <w:rPr>
                <w:rStyle w:val="font41"/>
                <w:rFonts w:ascii="Times New Roman" w:hAnsi="Times New Roman" w:cs="Times New Roman" w:hint="default"/>
                <w:sz w:val="21"/>
                <w:szCs w:val="21"/>
              </w:rPr>
              <w:t>其中：权益部分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29</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    </w:t>
            </w:r>
            <w:r w:rsidRPr="00112EE8">
              <w:rPr>
                <w:rStyle w:val="font41"/>
                <w:rFonts w:ascii="Times New Roman" w:hAnsi="Times New Roman" w:cs="Times New Roman" w:hint="default"/>
                <w:sz w:val="21"/>
                <w:szCs w:val="21"/>
              </w:rPr>
              <w:t>其中：负债部分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30</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少数股东资本可计入部分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31</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扣除前的其他一级资本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其他一级资本</w:t>
            </w:r>
            <w:r w:rsidRPr="00112EE8">
              <w:rPr>
                <w:rStyle w:val="font31"/>
                <w:rFonts w:ascii="Times New Roman" w:hAnsi="Times New Roman" w:cs="Times New Roman" w:hint="default"/>
                <w:sz w:val="21"/>
                <w:szCs w:val="21"/>
              </w:rPr>
              <w:t>:</w:t>
            </w:r>
            <w:r w:rsidRPr="00112EE8">
              <w:rPr>
                <w:rStyle w:val="font31"/>
                <w:rFonts w:ascii="Times New Roman" w:hAnsi="Times New Roman" w:cs="Times New Roman" w:hint="default"/>
                <w:sz w:val="21"/>
                <w:szCs w:val="21"/>
              </w:rPr>
              <w:t>扣除项</w:t>
            </w: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32</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直接或间接持有的本银行其他一级资本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33</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银行间或银行与其他金融机构间通过协议相互持有的其他一级资本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34</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对未并表金融机构小额少数资本投资中的其他一级资本中应扣除金额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35</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对未并表金融机构大额少数资本投资中的其他一级资本中应扣除金额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36</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其他应在其他一级资本中扣除的项目合计</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37</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应从二级资本中扣除的未扣缺口</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38</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其他一级资本扣除项总和</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39</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其他一级资本净额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40</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一级资本净额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434368.25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二级资本</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41</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二级资本工具及其溢价</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29900.00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42</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少数股东资本可计入部分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43</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超额损失准备可计入部分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37756.97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44</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扣除前的二级资本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67656.97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二级资本：扣除项</w:t>
            </w: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45</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直接或间接持有的本银行的二级资本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46</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银行间或银行与其他金融机构间通过协议相互持有的其他一级资本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lastRenderedPageBreak/>
              <w:t>47</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对未并表金融机构小额少数资本投资中的二级资本中应扣除金额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48</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对未并表金融机构大额少数资本投资中的二级资本</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49</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其他应在二级资本中扣除的项目合计</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50</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二级资本扣除项总和</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51</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二级资本净额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67656.97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52</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总资本净额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502025.22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53</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风险加权资产</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3263724.01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资本充足率和其他各级资本要求</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54</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核心一级资本充足率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13.31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55</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一级资本充足率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13.31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56</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资本充足率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15.38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57</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其他各级资本要求（</w:t>
            </w:r>
            <w:r w:rsidRPr="00112EE8">
              <w:rPr>
                <w:rStyle w:val="font31"/>
                <w:rFonts w:ascii="Times New Roman" w:hAnsi="Times New Roman" w:cs="Times New Roman" w:hint="default"/>
                <w:sz w:val="21"/>
                <w:szCs w:val="21"/>
              </w:rPr>
              <w:t>%</w:t>
            </w:r>
            <w:r w:rsidRPr="00112EE8">
              <w:rPr>
                <w:rStyle w:val="font31"/>
                <w:rFonts w:ascii="Times New Roman" w:hAnsi="Times New Roman" w:cs="Times New Roman" w:hint="default"/>
                <w:sz w:val="21"/>
                <w:szCs w:val="21"/>
              </w:rPr>
              <w:t>）</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2.5</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58</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    </w:t>
            </w:r>
            <w:r w:rsidRPr="00112EE8">
              <w:rPr>
                <w:rStyle w:val="font41"/>
                <w:rFonts w:ascii="Times New Roman" w:hAnsi="Times New Roman" w:cs="Times New Roman" w:hint="default"/>
                <w:sz w:val="21"/>
                <w:szCs w:val="21"/>
              </w:rPr>
              <w:t>其中：储备资本要求</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2.5</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59</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    </w:t>
            </w:r>
            <w:r w:rsidRPr="00112EE8">
              <w:rPr>
                <w:rStyle w:val="font41"/>
                <w:rFonts w:ascii="Times New Roman" w:hAnsi="Times New Roman" w:cs="Times New Roman" w:hint="default"/>
                <w:sz w:val="21"/>
                <w:szCs w:val="21"/>
              </w:rPr>
              <w:t>其中：逆周期资本要求</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60</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    </w:t>
            </w:r>
            <w:r w:rsidRPr="00112EE8">
              <w:rPr>
                <w:rStyle w:val="font41"/>
                <w:rFonts w:ascii="Times New Roman" w:hAnsi="Times New Roman" w:cs="Times New Roman" w:hint="default"/>
                <w:sz w:val="21"/>
                <w:szCs w:val="21"/>
              </w:rPr>
              <w:t>其中：全球系统重要性银行或国内系统重要性银行附加资本要求</w:t>
            </w:r>
          </w:p>
        </w:tc>
        <w:tc>
          <w:tcPr>
            <w:tcW w:w="1935" w:type="dxa"/>
            <w:tcBorders>
              <w:top w:val="single" w:sz="4" w:space="0" w:color="auto"/>
              <w:left w:val="single" w:sz="4" w:space="0" w:color="auto"/>
              <w:bottom w:val="single" w:sz="4" w:space="0" w:color="auto"/>
              <w:right w:val="single" w:sz="4" w:space="0" w:color="auto"/>
            </w:tcBorders>
            <w:shd w:val="clear" w:color="auto" w:fill="808080"/>
            <w:vAlign w:val="center"/>
            <w:hideMark/>
          </w:tcPr>
          <w:p w:rsidR="006D6B9C" w:rsidRPr="00112EE8" w:rsidRDefault="006D6B9C">
            <w:pPr>
              <w:jc w:val="center"/>
              <w:rPr>
                <w:rFonts w:ascii="Times New Roman" w:eastAsia="仿宋_GB2312" w:hAnsi="Times New Roman" w:cs="Times New Roman"/>
                <w:color w:val="000000"/>
                <w:szCs w:val="21"/>
              </w:rPr>
            </w:pP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87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61</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满足最低资本要求后的可用核心一级资本净额占风险加权资产的比例（</w:t>
            </w:r>
            <w:r w:rsidRPr="00112EE8">
              <w:rPr>
                <w:rStyle w:val="font31"/>
                <w:rFonts w:ascii="Times New Roman" w:hAnsi="Times New Roman" w:cs="Times New Roman" w:hint="default"/>
                <w:sz w:val="21"/>
                <w:szCs w:val="21"/>
              </w:rPr>
              <w:t>%</w:t>
            </w:r>
            <w:r w:rsidRPr="00112EE8">
              <w:rPr>
                <w:rStyle w:val="font31"/>
                <w:rFonts w:ascii="Times New Roman" w:hAnsi="Times New Roman" w:cs="Times New Roman" w:hint="default"/>
                <w:sz w:val="21"/>
                <w:szCs w:val="21"/>
              </w:rPr>
              <w:t>）</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7.05</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我国最低监管资本要求</w:t>
            </w: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62</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核心一级资本充足率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5</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63</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一级资本充足率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64</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资本充足率</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8</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门槛扣除项中未扣除部分</w:t>
            </w: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65</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对未并表金融机构的小额少数资本投资中未扣除部分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13912.54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66</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对未并表金融机构的大额少数资本投资中未扣除部分</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8000.00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67</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其他依赖于银行未来盈利的净递延税资产（扣除递延税负债）</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45189.55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300"/>
        </w:trPr>
        <w:tc>
          <w:tcPr>
            <w:tcW w:w="831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b/>
                <w:bCs/>
                <w:color w:val="000000"/>
                <w:szCs w:val="21"/>
              </w:rPr>
            </w:pPr>
            <w:r w:rsidRPr="00112EE8">
              <w:rPr>
                <w:rFonts w:ascii="Times New Roman" w:eastAsia="仿宋_GB2312" w:hAnsi="Times New Roman" w:cs="Times New Roman"/>
                <w:b/>
                <w:bCs/>
                <w:color w:val="000000"/>
                <w:szCs w:val="21"/>
              </w:rPr>
              <w:t>可计入二级资本的超额损失准备的限额</w:t>
            </w: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68</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权重法下，实际计提的超额损失准备金额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195119.15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r w:rsidR="006D6B9C" w:rsidRPr="00112EE8" w:rsidTr="00112EE8">
        <w:trPr>
          <w:trHeight w:val="585"/>
        </w:trPr>
        <w:tc>
          <w:tcPr>
            <w:tcW w:w="630" w:type="dxa"/>
            <w:tcBorders>
              <w:top w:val="nil"/>
              <w:left w:val="nil"/>
              <w:bottom w:val="single" w:sz="8" w:space="0" w:color="000000"/>
              <w:right w:val="single" w:sz="8" w:space="0" w:color="000000"/>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69</w:t>
            </w:r>
          </w:p>
        </w:tc>
        <w:tc>
          <w:tcPr>
            <w:tcW w:w="3810" w:type="dxa"/>
            <w:tcBorders>
              <w:top w:val="nil"/>
              <w:left w:val="nil"/>
              <w:bottom w:val="single" w:sz="8" w:space="0" w:color="000000"/>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权重法下，可计入二级资本超额损失准备的数额</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jc w:val="center"/>
              <w:rPr>
                <w:rFonts w:ascii="Times New Roman" w:eastAsia="仿宋_GB2312" w:hAnsi="Times New Roman" w:cs="Times New Roman"/>
                <w:color w:val="000000"/>
                <w:szCs w:val="21"/>
              </w:rPr>
            </w:pPr>
            <w:r w:rsidRPr="00112EE8">
              <w:rPr>
                <w:rFonts w:ascii="Times New Roman" w:eastAsia="仿宋_GB2312" w:hAnsi="Times New Roman" w:cs="Times New Roman"/>
                <w:color w:val="000000"/>
                <w:szCs w:val="21"/>
              </w:rPr>
              <w:t xml:space="preserve">37756.97 </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6B9C" w:rsidRPr="00112EE8" w:rsidRDefault="006D6B9C">
            <w:pPr>
              <w:rPr>
                <w:rFonts w:ascii="Times New Roman" w:eastAsia="仿宋_GB2312" w:hAnsi="Times New Roman" w:cs="Times New Roman"/>
                <w:color w:val="000000"/>
                <w:szCs w:val="21"/>
              </w:rPr>
            </w:pPr>
          </w:p>
        </w:tc>
      </w:tr>
    </w:tbl>
    <w:p w:rsidR="00956B56" w:rsidRPr="00797EF1" w:rsidRDefault="00956B56">
      <w:pPr>
        <w:snapToGrid w:val="0"/>
        <w:spacing w:line="480" w:lineRule="exact"/>
        <w:outlineLvl w:val="1"/>
        <w:rPr>
          <w:rFonts w:ascii="Times New Roman" w:eastAsia="仿宋_GB2312" w:hAnsi="Times New Roman" w:cs="Times New Roman"/>
          <w:color w:val="000000" w:themeColor="text1"/>
          <w:sz w:val="30"/>
          <w:szCs w:val="30"/>
        </w:rPr>
      </w:pPr>
    </w:p>
    <w:p w:rsidR="00956B56" w:rsidRPr="00797EF1" w:rsidRDefault="000609F4">
      <w:pPr>
        <w:pStyle w:val="a3"/>
        <w:widowControl/>
        <w:spacing w:beforeAutospacing="0" w:afterAutospacing="0" w:line="560" w:lineRule="exact"/>
        <w:ind w:firstLineChars="900" w:firstLine="2880"/>
        <w:jc w:val="both"/>
        <w:rPr>
          <w:rFonts w:ascii="Times New Roman" w:eastAsia="仿宋_GB2312" w:hAnsi="Times New Roman"/>
          <w:sz w:val="32"/>
          <w:szCs w:val="32"/>
        </w:rPr>
      </w:pPr>
      <w:r w:rsidRPr="00797EF1">
        <w:rPr>
          <w:rFonts w:ascii="Times New Roman" w:eastAsia="仿宋_GB2312" w:hAnsi="Times New Roman"/>
          <w:sz w:val="32"/>
          <w:szCs w:val="32"/>
        </w:rPr>
        <w:t>江苏</w:t>
      </w:r>
      <w:r w:rsidR="002D225E" w:rsidRPr="00797EF1">
        <w:rPr>
          <w:rFonts w:ascii="Times New Roman" w:eastAsia="仿宋_GB2312" w:hAnsi="Times New Roman"/>
          <w:sz w:val="32"/>
          <w:szCs w:val="32"/>
        </w:rPr>
        <w:t>泰兴</w:t>
      </w:r>
      <w:r w:rsidRPr="00797EF1">
        <w:rPr>
          <w:rFonts w:ascii="Times New Roman" w:eastAsia="仿宋_GB2312" w:hAnsi="Times New Roman"/>
          <w:sz w:val="32"/>
          <w:szCs w:val="32"/>
        </w:rPr>
        <w:t>农村商业银行股份有限公司</w:t>
      </w:r>
    </w:p>
    <w:p w:rsidR="00956B56" w:rsidRPr="00797EF1" w:rsidRDefault="000609F4">
      <w:pPr>
        <w:pStyle w:val="a3"/>
        <w:widowControl/>
        <w:spacing w:beforeAutospacing="0" w:afterAutospacing="0" w:line="560" w:lineRule="exact"/>
        <w:ind w:firstLineChars="1300" w:firstLine="4160"/>
        <w:jc w:val="both"/>
        <w:rPr>
          <w:rFonts w:ascii="Times New Roman" w:eastAsia="仿宋_GB2312" w:hAnsi="Times New Roman"/>
          <w:sz w:val="32"/>
          <w:szCs w:val="32"/>
        </w:rPr>
      </w:pPr>
      <w:r w:rsidRPr="00797EF1">
        <w:rPr>
          <w:rFonts w:ascii="Times New Roman" w:eastAsia="仿宋_GB2312" w:hAnsi="Times New Roman"/>
          <w:sz w:val="32"/>
          <w:szCs w:val="32"/>
        </w:rPr>
        <w:t>202</w:t>
      </w:r>
      <w:r w:rsidR="00144C38">
        <w:rPr>
          <w:rFonts w:ascii="Times New Roman" w:eastAsia="仿宋_GB2312" w:hAnsi="Times New Roman" w:hint="eastAsia"/>
          <w:sz w:val="32"/>
          <w:szCs w:val="32"/>
        </w:rPr>
        <w:t>5</w:t>
      </w:r>
      <w:r w:rsidRPr="00797EF1">
        <w:rPr>
          <w:rFonts w:ascii="Times New Roman" w:eastAsia="仿宋_GB2312" w:hAnsi="Times New Roman"/>
          <w:sz w:val="32"/>
          <w:szCs w:val="32"/>
        </w:rPr>
        <w:t>年</w:t>
      </w:r>
      <w:r w:rsidRPr="00797EF1">
        <w:rPr>
          <w:rFonts w:ascii="Times New Roman" w:eastAsia="仿宋_GB2312" w:hAnsi="Times New Roman"/>
          <w:sz w:val="32"/>
          <w:szCs w:val="32"/>
        </w:rPr>
        <w:t>8</w:t>
      </w:r>
      <w:r w:rsidRPr="00797EF1">
        <w:rPr>
          <w:rFonts w:ascii="Times New Roman" w:eastAsia="仿宋_GB2312" w:hAnsi="Times New Roman"/>
          <w:sz w:val="32"/>
          <w:szCs w:val="32"/>
        </w:rPr>
        <w:t>月</w:t>
      </w:r>
      <w:r w:rsidRPr="00797EF1">
        <w:rPr>
          <w:rFonts w:ascii="Times New Roman" w:eastAsia="仿宋_GB2312" w:hAnsi="Times New Roman"/>
          <w:sz w:val="32"/>
          <w:szCs w:val="32"/>
        </w:rPr>
        <w:t>1</w:t>
      </w:r>
      <w:bookmarkStart w:id="0" w:name="_GoBack"/>
      <w:bookmarkEnd w:id="0"/>
      <w:r w:rsidR="00140FAE" w:rsidRPr="00797EF1">
        <w:rPr>
          <w:rFonts w:ascii="Times New Roman" w:eastAsia="仿宋_GB2312" w:hAnsi="Times New Roman"/>
          <w:sz w:val="32"/>
          <w:szCs w:val="32"/>
        </w:rPr>
        <w:t>5</w:t>
      </w:r>
      <w:r w:rsidRPr="00797EF1">
        <w:rPr>
          <w:rFonts w:ascii="Times New Roman" w:eastAsia="仿宋_GB2312" w:hAnsi="Times New Roman"/>
          <w:sz w:val="32"/>
          <w:szCs w:val="32"/>
        </w:rPr>
        <w:t>日</w:t>
      </w:r>
    </w:p>
    <w:sectPr w:rsidR="00956B56" w:rsidRPr="00797EF1" w:rsidSect="00956B5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7E42" w:rsidRDefault="00037E42" w:rsidP="003D4B92">
      <w:pPr>
        <w:ind w:firstLine="420"/>
      </w:pPr>
      <w:r>
        <w:separator/>
      </w:r>
    </w:p>
  </w:endnote>
  <w:endnote w:type="continuationSeparator" w:id="1">
    <w:p w:rsidR="00037E42" w:rsidRDefault="00037E42" w:rsidP="003D4B92">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7E42" w:rsidRDefault="00037E42" w:rsidP="003D4B92">
      <w:pPr>
        <w:ind w:firstLine="420"/>
      </w:pPr>
      <w:r>
        <w:separator/>
      </w:r>
    </w:p>
  </w:footnote>
  <w:footnote w:type="continuationSeparator" w:id="1">
    <w:p w:rsidR="00037E42" w:rsidRDefault="00037E42" w:rsidP="003D4B92">
      <w:pPr>
        <w:ind w:firstLine="42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956B56"/>
    <w:rsid w:val="00037E42"/>
    <w:rsid w:val="000609F4"/>
    <w:rsid w:val="00085FC2"/>
    <w:rsid w:val="00102A55"/>
    <w:rsid w:val="00112EE8"/>
    <w:rsid w:val="00140FAE"/>
    <w:rsid w:val="00144C38"/>
    <w:rsid w:val="001941B3"/>
    <w:rsid w:val="0023463C"/>
    <w:rsid w:val="002D225E"/>
    <w:rsid w:val="00367450"/>
    <w:rsid w:val="00383815"/>
    <w:rsid w:val="003D4B92"/>
    <w:rsid w:val="003E1545"/>
    <w:rsid w:val="00451211"/>
    <w:rsid w:val="00463F81"/>
    <w:rsid w:val="00583016"/>
    <w:rsid w:val="005E3121"/>
    <w:rsid w:val="006A28FC"/>
    <w:rsid w:val="006D6B9C"/>
    <w:rsid w:val="006F4822"/>
    <w:rsid w:val="00797EF1"/>
    <w:rsid w:val="007D6136"/>
    <w:rsid w:val="007E5A61"/>
    <w:rsid w:val="007F5677"/>
    <w:rsid w:val="007F760C"/>
    <w:rsid w:val="00826F6D"/>
    <w:rsid w:val="008623F0"/>
    <w:rsid w:val="008C74F5"/>
    <w:rsid w:val="00956B56"/>
    <w:rsid w:val="009B484A"/>
    <w:rsid w:val="009F594B"/>
    <w:rsid w:val="00A401B2"/>
    <w:rsid w:val="00A47FDE"/>
    <w:rsid w:val="00AE4B10"/>
    <w:rsid w:val="00B361A7"/>
    <w:rsid w:val="00B65F8E"/>
    <w:rsid w:val="00BD1137"/>
    <w:rsid w:val="00BD1F33"/>
    <w:rsid w:val="00C65D7D"/>
    <w:rsid w:val="00C73581"/>
    <w:rsid w:val="00CA05B9"/>
    <w:rsid w:val="00D43B6A"/>
    <w:rsid w:val="00D62C30"/>
    <w:rsid w:val="00D64FF9"/>
    <w:rsid w:val="00D84174"/>
    <w:rsid w:val="00E02AF7"/>
    <w:rsid w:val="00E657F0"/>
    <w:rsid w:val="00E9373B"/>
    <w:rsid w:val="00EF5F9B"/>
    <w:rsid w:val="00F86B86"/>
    <w:rsid w:val="00FA181F"/>
    <w:rsid w:val="00FA77D3"/>
    <w:rsid w:val="01E60688"/>
    <w:rsid w:val="030A5E0C"/>
    <w:rsid w:val="174B5883"/>
    <w:rsid w:val="17D320BE"/>
    <w:rsid w:val="1A1B5FB9"/>
    <w:rsid w:val="246D64BE"/>
    <w:rsid w:val="25222EA9"/>
    <w:rsid w:val="2A687315"/>
    <w:rsid w:val="2F8E6715"/>
    <w:rsid w:val="3CA5756E"/>
    <w:rsid w:val="3CB57C88"/>
    <w:rsid w:val="40652DD7"/>
    <w:rsid w:val="44D36FD7"/>
    <w:rsid w:val="4B22296B"/>
    <w:rsid w:val="594C777E"/>
    <w:rsid w:val="5C2A5C3F"/>
    <w:rsid w:val="5E70368B"/>
    <w:rsid w:val="5EB56E8D"/>
    <w:rsid w:val="60802F3A"/>
    <w:rsid w:val="68984963"/>
    <w:rsid w:val="6B6B0FB2"/>
    <w:rsid w:val="6D531233"/>
    <w:rsid w:val="6F5B6E4A"/>
    <w:rsid w:val="6FDB69B8"/>
    <w:rsid w:val="70235C36"/>
    <w:rsid w:val="722768C3"/>
    <w:rsid w:val="73D21981"/>
    <w:rsid w:val="750C1DC3"/>
    <w:rsid w:val="79C416FF"/>
    <w:rsid w:val="7D9D24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56B56"/>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56B56"/>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56B56"/>
    <w:pPr>
      <w:spacing w:beforeAutospacing="1" w:afterAutospacing="1"/>
      <w:jc w:val="left"/>
    </w:pPr>
    <w:rPr>
      <w:rFonts w:cs="Times New Roman"/>
      <w:kern w:val="0"/>
      <w:sz w:val="24"/>
    </w:rPr>
  </w:style>
  <w:style w:type="character" w:styleId="a4">
    <w:name w:val="Strong"/>
    <w:basedOn w:val="a0"/>
    <w:qFormat/>
    <w:rsid w:val="00956B56"/>
    <w:rPr>
      <w:b/>
    </w:rPr>
  </w:style>
  <w:style w:type="character" w:styleId="a5">
    <w:name w:val="FollowedHyperlink"/>
    <w:basedOn w:val="a0"/>
    <w:qFormat/>
    <w:rsid w:val="00956B56"/>
    <w:rPr>
      <w:color w:val="800080"/>
      <w:u w:val="none"/>
    </w:rPr>
  </w:style>
  <w:style w:type="character" w:styleId="a6">
    <w:name w:val="Emphasis"/>
    <w:basedOn w:val="a0"/>
    <w:qFormat/>
    <w:rsid w:val="00956B56"/>
  </w:style>
  <w:style w:type="character" w:styleId="a7">
    <w:name w:val="Hyperlink"/>
    <w:basedOn w:val="a0"/>
    <w:qFormat/>
    <w:rsid w:val="00956B56"/>
    <w:rPr>
      <w:color w:val="0000FF"/>
      <w:u w:val="none"/>
    </w:rPr>
  </w:style>
  <w:style w:type="character" w:customStyle="1" w:styleId="first-child1">
    <w:name w:val="first-child1"/>
    <w:basedOn w:val="a0"/>
    <w:qFormat/>
    <w:rsid w:val="00956B56"/>
  </w:style>
  <w:style w:type="character" w:customStyle="1" w:styleId="first-child2">
    <w:name w:val="first-child2"/>
    <w:basedOn w:val="a0"/>
    <w:qFormat/>
    <w:rsid w:val="00956B56"/>
    <w:rPr>
      <w:b/>
      <w:color w:val="FF6D00"/>
      <w:sz w:val="38"/>
      <w:szCs w:val="38"/>
    </w:rPr>
  </w:style>
  <w:style w:type="character" w:customStyle="1" w:styleId="last-child">
    <w:name w:val="last-child"/>
    <w:basedOn w:val="a0"/>
    <w:qFormat/>
    <w:rsid w:val="00956B56"/>
  </w:style>
  <w:style w:type="character" w:customStyle="1" w:styleId="last-child1">
    <w:name w:val="last-child1"/>
    <w:basedOn w:val="a0"/>
    <w:qFormat/>
    <w:rsid w:val="00956B56"/>
  </w:style>
  <w:style w:type="character" w:customStyle="1" w:styleId="first-childspan">
    <w:name w:val="first-child+span"/>
    <w:basedOn w:val="a0"/>
    <w:qFormat/>
    <w:rsid w:val="00956B56"/>
    <w:rPr>
      <w:b/>
      <w:sz w:val="20"/>
      <w:szCs w:val="20"/>
    </w:rPr>
  </w:style>
  <w:style w:type="character" w:customStyle="1" w:styleId="font21">
    <w:name w:val="font21"/>
    <w:basedOn w:val="a0"/>
    <w:rsid w:val="00956B56"/>
    <w:rPr>
      <w:rFonts w:ascii="微软雅黑" w:eastAsia="微软雅黑" w:hAnsi="微软雅黑" w:cs="微软雅黑" w:hint="eastAsia"/>
      <w:b/>
      <w:bCs/>
      <w:color w:val="000000"/>
      <w:sz w:val="18"/>
      <w:szCs w:val="18"/>
      <w:u w:val="none"/>
    </w:rPr>
  </w:style>
  <w:style w:type="character" w:customStyle="1" w:styleId="font01">
    <w:name w:val="font01"/>
    <w:basedOn w:val="a0"/>
    <w:rsid w:val="00956B56"/>
    <w:rPr>
      <w:rFonts w:ascii="微软雅黑" w:eastAsia="微软雅黑" w:hAnsi="微软雅黑" w:cs="微软雅黑" w:hint="eastAsia"/>
      <w:color w:val="000000"/>
      <w:sz w:val="18"/>
      <w:szCs w:val="18"/>
      <w:u w:val="none"/>
    </w:rPr>
  </w:style>
  <w:style w:type="paragraph" w:styleId="a8">
    <w:name w:val="header"/>
    <w:basedOn w:val="a"/>
    <w:link w:val="Char"/>
    <w:rsid w:val="003D4B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3D4B92"/>
    <w:rPr>
      <w:rFonts w:asciiTheme="minorHAnsi" w:eastAsiaTheme="minorEastAsia" w:hAnsiTheme="minorHAnsi" w:cstheme="minorBidi"/>
      <w:kern w:val="2"/>
      <w:sz w:val="18"/>
      <w:szCs w:val="18"/>
    </w:rPr>
  </w:style>
  <w:style w:type="paragraph" w:styleId="a9">
    <w:name w:val="footer"/>
    <w:basedOn w:val="a"/>
    <w:link w:val="Char0"/>
    <w:rsid w:val="003D4B92"/>
    <w:pPr>
      <w:tabs>
        <w:tab w:val="center" w:pos="4153"/>
        <w:tab w:val="right" w:pos="8306"/>
      </w:tabs>
      <w:snapToGrid w:val="0"/>
      <w:jc w:val="left"/>
    </w:pPr>
    <w:rPr>
      <w:sz w:val="18"/>
      <w:szCs w:val="18"/>
    </w:rPr>
  </w:style>
  <w:style w:type="character" w:customStyle="1" w:styleId="Char0">
    <w:name w:val="页脚 Char"/>
    <w:basedOn w:val="a0"/>
    <w:link w:val="a9"/>
    <w:rsid w:val="003D4B92"/>
    <w:rPr>
      <w:rFonts w:asciiTheme="minorHAnsi" w:eastAsiaTheme="minorEastAsia" w:hAnsiTheme="minorHAnsi" w:cstheme="minorBidi"/>
      <w:kern w:val="2"/>
      <w:sz w:val="18"/>
      <w:szCs w:val="18"/>
    </w:rPr>
  </w:style>
  <w:style w:type="character" w:customStyle="1" w:styleId="font61">
    <w:name w:val="font61"/>
    <w:basedOn w:val="a0"/>
    <w:rsid w:val="009F594B"/>
    <w:rPr>
      <w:rFonts w:ascii="Times New Roman" w:hAnsi="Times New Roman" w:cs="Times New Roman" w:hint="default"/>
      <w:b w:val="0"/>
      <w:bCs w:val="0"/>
      <w:i w:val="0"/>
      <w:iCs w:val="0"/>
      <w:strike w:val="0"/>
      <w:dstrike w:val="0"/>
      <w:color w:val="000000"/>
      <w:sz w:val="24"/>
      <w:szCs w:val="24"/>
      <w:u w:val="none"/>
      <w:effect w:val="none"/>
    </w:rPr>
  </w:style>
  <w:style w:type="character" w:customStyle="1" w:styleId="font51">
    <w:name w:val="font51"/>
    <w:basedOn w:val="a0"/>
    <w:rsid w:val="009F594B"/>
    <w:rPr>
      <w:rFonts w:ascii="仿宋_GB2312" w:eastAsia="仿宋_GB2312" w:hint="eastAsia"/>
      <w:b w:val="0"/>
      <w:bCs w:val="0"/>
      <w:i w:val="0"/>
      <w:iCs w:val="0"/>
      <w:strike w:val="0"/>
      <w:dstrike w:val="0"/>
      <w:color w:val="000000"/>
      <w:sz w:val="24"/>
      <w:szCs w:val="24"/>
      <w:u w:val="none"/>
      <w:effect w:val="none"/>
    </w:rPr>
  </w:style>
  <w:style w:type="character" w:customStyle="1" w:styleId="font11">
    <w:name w:val="font11"/>
    <w:basedOn w:val="a0"/>
    <w:rsid w:val="009F594B"/>
    <w:rPr>
      <w:rFonts w:ascii="仿宋_GB2312" w:eastAsia="仿宋_GB2312" w:hint="eastAsia"/>
      <w:b/>
      <w:bCs/>
      <w:i w:val="0"/>
      <w:iCs w:val="0"/>
      <w:strike w:val="0"/>
      <w:dstrike w:val="0"/>
      <w:color w:val="000000"/>
      <w:sz w:val="28"/>
      <w:szCs w:val="28"/>
      <w:u w:val="none"/>
      <w:effect w:val="none"/>
    </w:rPr>
  </w:style>
  <w:style w:type="character" w:customStyle="1" w:styleId="font41">
    <w:name w:val="font41"/>
    <w:basedOn w:val="a0"/>
    <w:rsid w:val="006D6B9C"/>
    <w:rPr>
      <w:rFonts w:ascii="仿宋_GB2312" w:eastAsia="仿宋_GB2312" w:hint="eastAsia"/>
      <w:b w:val="0"/>
      <w:bCs w:val="0"/>
      <w:i w:val="0"/>
      <w:iCs w:val="0"/>
      <w:strike w:val="0"/>
      <w:dstrike w:val="0"/>
      <w:color w:val="000000"/>
      <w:sz w:val="24"/>
      <w:szCs w:val="24"/>
      <w:u w:val="none"/>
      <w:effect w:val="none"/>
    </w:rPr>
  </w:style>
  <w:style w:type="character" w:customStyle="1" w:styleId="font31">
    <w:name w:val="font31"/>
    <w:basedOn w:val="a0"/>
    <w:rsid w:val="006D6B9C"/>
    <w:rPr>
      <w:rFonts w:ascii="仿宋_GB2312" w:eastAsia="仿宋_GB2312" w:hint="eastAsia"/>
      <w:b/>
      <w:bCs/>
      <w:i w:val="0"/>
      <w:iCs w:val="0"/>
      <w:strike w:val="0"/>
      <w:dstrike w:val="0"/>
      <w:color w:val="000000"/>
      <w:sz w:val="24"/>
      <w:szCs w:val="24"/>
      <w:u w:val="none"/>
      <w:effect w:val="none"/>
    </w:rPr>
  </w:style>
</w:styles>
</file>

<file path=word/webSettings.xml><?xml version="1.0" encoding="utf-8"?>
<w:webSettings xmlns:r="http://schemas.openxmlformats.org/officeDocument/2006/relationships" xmlns:w="http://schemas.openxmlformats.org/wordprocessingml/2006/main">
  <w:divs>
    <w:div w:id="742683">
      <w:bodyDiv w:val="1"/>
      <w:marLeft w:val="0"/>
      <w:marRight w:val="0"/>
      <w:marTop w:val="0"/>
      <w:marBottom w:val="0"/>
      <w:divBdr>
        <w:top w:val="none" w:sz="0" w:space="0" w:color="auto"/>
        <w:left w:val="none" w:sz="0" w:space="0" w:color="auto"/>
        <w:bottom w:val="none" w:sz="0" w:space="0" w:color="auto"/>
        <w:right w:val="none" w:sz="0" w:space="0" w:color="auto"/>
      </w:divBdr>
    </w:div>
    <w:div w:id="86654553">
      <w:bodyDiv w:val="1"/>
      <w:marLeft w:val="0"/>
      <w:marRight w:val="0"/>
      <w:marTop w:val="0"/>
      <w:marBottom w:val="0"/>
      <w:divBdr>
        <w:top w:val="none" w:sz="0" w:space="0" w:color="auto"/>
        <w:left w:val="none" w:sz="0" w:space="0" w:color="auto"/>
        <w:bottom w:val="none" w:sz="0" w:space="0" w:color="auto"/>
        <w:right w:val="none" w:sz="0" w:space="0" w:color="auto"/>
      </w:divBdr>
    </w:div>
    <w:div w:id="526716682">
      <w:bodyDiv w:val="1"/>
      <w:marLeft w:val="0"/>
      <w:marRight w:val="0"/>
      <w:marTop w:val="0"/>
      <w:marBottom w:val="0"/>
      <w:divBdr>
        <w:top w:val="none" w:sz="0" w:space="0" w:color="auto"/>
        <w:left w:val="none" w:sz="0" w:space="0" w:color="auto"/>
        <w:bottom w:val="none" w:sz="0" w:space="0" w:color="auto"/>
        <w:right w:val="none" w:sz="0" w:space="0" w:color="auto"/>
      </w:divBdr>
    </w:div>
    <w:div w:id="620572638">
      <w:bodyDiv w:val="1"/>
      <w:marLeft w:val="0"/>
      <w:marRight w:val="0"/>
      <w:marTop w:val="0"/>
      <w:marBottom w:val="0"/>
      <w:divBdr>
        <w:top w:val="none" w:sz="0" w:space="0" w:color="auto"/>
        <w:left w:val="none" w:sz="0" w:space="0" w:color="auto"/>
        <w:bottom w:val="none" w:sz="0" w:space="0" w:color="auto"/>
        <w:right w:val="none" w:sz="0" w:space="0" w:color="auto"/>
      </w:divBdr>
    </w:div>
    <w:div w:id="752513354">
      <w:bodyDiv w:val="1"/>
      <w:marLeft w:val="0"/>
      <w:marRight w:val="0"/>
      <w:marTop w:val="0"/>
      <w:marBottom w:val="0"/>
      <w:divBdr>
        <w:top w:val="none" w:sz="0" w:space="0" w:color="auto"/>
        <w:left w:val="none" w:sz="0" w:space="0" w:color="auto"/>
        <w:bottom w:val="none" w:sz="0" w:space="0" w:color="auto"/>
        <w:right w:val="none" w:sz="0" w:space="0" w:color="auto"/>
      </w:divBdr>
    </w:div>
    <w:div w:id="825316053">
      <w:bodyDiv w:val="1"/>
      <w:marLeft w:val="0"/>
      <w:marRight w:val="0"/>
      <w:marTop w:val="0"/>
      <w:marBottom w:val="0"/>
      <w:divBdr>
        <w:top w:val="none" w:sz="0" w:space="0" w:color="auto"/>
        <w:left w:val="none" w:sz="0" w:space="0" w:color="auto"/>
        <w:bottom w:val="none" w:sz="0" w:space="0" w:color="auto"/>
        <w:right w:val="none" w:sz="0" w:space="0" w:color="auto"/>
      </w:divBdr>
    </w:div>
    <w:div w:id="870923982">
      <w:bodyDiv w:val="1"/>
      <w:marLeft w:val="0"/>
      <w:marRight w:val="0"/>
      <w:marTop w:val="0"/>
      <w:marBottom w:val="0"/>
      <w:divBdr>
        <w:top w:val="none" w:sz="0" w:space="0" w:color="auto"/>
        <w:left w:val="none" w:sz="0" w:space="0" w:color="auto"/>
        <w:bottom w:val="none" w:sz="0" w:space="0" w:color="auto"/>
        <w:right w:val="none" w:sz="0" w:space="0" w:color="auto"/>
      </w:divBdr>
    </w:div>
    <w:div w:id="1181776606">
      <w:bodyDiv w:val="1"/>
      <w:marLeft w:val="0"/>
      <w:marRight w:val="0"/>
      <w:marTop w:val="0"/>
      <w:marBottom w:val="0"/>
      <w:divBdr>
        <w:top w:val="none" w:sz="0" w:space="0" w:color="auto"/>
        <w:left w:val="none" w:sz="0" w:space="0" w:color="auto"/>
        <w:bottom w:val="none" w:sz="0" w:space="0" w:color="auto"/>
        <w:right w:val="none" w:sz="0" w:space="0" w:color="auto"/>
      </w:divBdr>
    </w:div>
    <w:div w:id="1226725167">
      <w:bodyDiv w:val="1"/>
      <w:marLeft w:val="0"/>
      <w:marRight w:val="0"/>
      <w:marTop w:val="0"/>
      <w:marBottom w:val="0"/>
      <w:divBdr>
        <w:top w:val="none" w:sz="0" w:space="0" w:color="auto"/>
        <w:left w:val="none" w:sz="0" w:space="0" w:color="auto"/>
        <w:bottom w:val="none" w:sz="0" w:space="0" w:color="auto"/>
        <w:right w:val="none" w:sz="0" w:space="0" w:color="auto"/>
      </w:divBdr>
    </w:div>
    <w:div w:id="1260020243">
      <w:bodyDiv w:val="1"/>
      <w:marLeft w:val="0"/>
      <w:marRight w:val="0"/>
      <w:marTop w:val="0"/>
      <w:marBottom w:val="0"/>
      <w:divBdr>
        <w:top w:val="none" w:sz="0" w:space="0" w:color="auto"/>
        <w:left w:val="none" w:sz="0" w:space="0" w:color="auto"/>
        <w:bottom w:val="none" w:sz="0" w:space="0" w:color="auto"/>
        <w:right w:val="none" w:sz="0" w:space="0" w:color="auto"/>
      </w:divBdr>
    </w:div>
    <w:div w:id="1363945112">
      <w:bodyDiv w:val="1"/>
      <w:marLeft w:val="0"/>
      <w:marRight w:val="0"/>
      <w:marTop w:val="0"/>
      <w:marBottom w:val="0"/>
      <w:divBdr>
        <w:top w:val="none" w:sz="0" w:space="0" w:color="auto"/>
        <w:left w:val="none" w:sz="0" w:space="0" w:color="auto"/>
        <w:bottom w:val="none" w:sz="0" w:space="0" w:color="auto"/>
        <w:right w:val="none" w:sz="0" w:space="0" w:color="auto"/>
      </w:divBdr>
    </w:div>
    <w:div w:id="1425875698">
      <w:bodyDiv w:val="1"/>
      <w:marLeft w:val="0"/>
      <w:marRight w:val="0"/>
      <w:marTop w:val="0"/>
      <w:marBottom w:val="0"/>
      <w:divBdr>
        <w:top w:val="none" w:sz="0" w:space="0" w:color="auto"/>
        <w:left w:val="none" w:sz="0" w:space="0" w:color="auto"/>
        <w:bottom w:val="none" w:sz="0" w:space="0" w:color="auto"/>
        <w:right w:val="none" w:sz="0" w:space="0" w:color="auto"/>
      </w:divBdr>
    </w:div>
    <w:div w:id="1528641573">
      <w:bodyDiv w:val="1"/>
      <w:marLeft w:val="0"/>
      <w:marRight w:val="0"/>
      <w:marTop w:val="0"/>
      <w:marBottom w:val="0"/>
      <w:divBdr>
        <w:top w:val="none" w:sz="0" w:space="0" w:color="auto"/>
        <w:left w:val="none" w:sz="0" w:space="0" w:color="auto"/>
        <w:bottom w:val="none" w:sz="0" w:space="0" w:color="auto"/>
        <w:right w:val="none" w:sz="0" w:space="0" w:color="auto"/>
      </w:divBdr>
    </w:div>
    <w:div w:id="1534150501">
      <w:bodyDiv w:val="1"/>
      <w:marLeft w:val="0"/>
      <w:marRight w:val="0"/>
      <w:marTop w:val="0"/>
      <w:marBottom w:val="0"/>
      <w:divBdr>
        <w:top w:val="none" w:sz="0" w:space="0" w:color="auto"/>
        <w:left w:val="none" w:sz="0" w:space="0" w:color="auto"/>
        <w:bottom w:val="none" w:sz="0" w:space="0" w:color="auto"/>
        <w:right w:val="none" w:sz="0" w:space="0" w:color="auto"/>
      </w:divBdr>
    </w:div>
    <w:div w:id="1551570518">
      <w:bodyDiv w:val="1"/>
      <w:marLeft w:val="0"/>
      <w:marRight w:val="0"/>
      <w:marTop w:val="0"/>
      <w:marBottom w:val="0"/>
      <w:divBdr>
        <w:top w:val="none" w:sz="0" w:space="0" w:color="auto"/>
        <w:left w:val="none" w:sz="0" w:space="0" w:color="auto"/>
        <w:bottom w:val="none" w:sz="0" w:space="0" w:color="auto"/>
        <w:right w:val="none" w:sz="0" w:space="0" w:color="auto"/>
      </w:divBdr>
    </w:div>
    <w:div w:id="1602492444">
      <w:bodyDiv w:val="1"/>
      <w:marLeft w:val="0"/>
      <w:marRight w:val="0"/>
      <w:marTop w:val="0"/>
      <w:marBottom w:val="0"/>
      <w:divBdr>
        <w:top w:val="none" w:sz="0" w:space="0" w:color="auto"/>
        <w:left w:val="none" w:sz="0" w:space="0" w:color="auto"/>
        <w:bottom w:val="none" w:sz="0" w:space="0" w:color="auto"/>
        <w:right w:val="none" w:sz="0" w:space="0" w:color="auto"/>
      </w:divBdr>
    </w:div>
    <w:div w:id="16647026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979</TotalTime>
  <Pages>5</Pages>
  <Words>504</Words>
  <Characters>2873</Characters>
  <Application>Microsoft Office Word</Application>
  <DocSecurity>0</DocSecurity>
  <Lines>23</Lines>
  <Paragraphs>6</Paragraphs>
  <ScaleCrop>false</ScaleCrop>
  <Company>Microsoft</Company>
  <LinksUpToDate>false</LinksUpToDate>
  <CharactersWithSpaces>3371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XHNSH-JAL</dc:creator>
  <cp:lastModifiedBy>耿娜</cp:lastModifiedBy>
  <cp:revision>16</cp:revision>
  <cp:lastPrinted>2025-08-15T08:28:00Z</cp:lastPrinted>
  <dcterms:created xsi:type="dcterms:W3CDTF">2022-11-03T07:53:00Z</dcterms:created>
  <dcterms:modified xsi:type="dcterms:W3CDTF">2025-08-15T08:32:00Z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y fmtid="{D5CDD505-2E9C-101B-9397-08002B2CF9AE}" pid="3" name="ICV">
    <vt:lpwstr>C2479C5A9C21492CB0F2E75406167D95</vt:lpwstr>
  </property>
</Properties>
</file>